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03.02.2010 N 47</w:t>
              <w:br/>
              <w:t xml:space="preserve">(ред. от 28.02.2022)</w:t>
              <w:br/>
              <w:t xml:space="preserve">"Об утверждении Правил хранения, ношения и применения специальных средств должностными лицами, осуществляющими федеральный государственный лесной контроль (надзор), и должностными лицами, осуществляющими лесную охрану"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01.08.2025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 февраля 2010 г. N 47</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ХРАНЕНИЯ, НОШЕНИЯ И ПРИМЕНЕНИЯ СПЕЦИАЛЬНЫХ</w:t>
      </w:r>
    </w:p>
    <w:p>
      <w:pPr>
        <w:pStyle w:val="2"/>
        <w:jc w:val="center"/>
      </w:pPr>
      <w:r>
        <w:rPr>
          <w:sz w:val="20"/>
        </w:rPr>
        <w:t xml:space="preserve">СРЕДСТВ ДОЛЖНОСТНЫМИ ЛИЦАМИ, ОСУЩЕСТВЛЯЮЩИМИ ФЕДЕРАЛЬНЫЙ</w:t>
      </w:r>
    </w:p>
    <w:p>
      <w:pPr>
        <w:pStyle w:val="2"/>
        <w:jc w:val="center"/>
      </w:pPr>
      <w:r>
        <w:rPr>
          <w:sz w:val="20"/>
        </w:rPr>
        <w:t xml:space="preserve">ГОСУДАРСТВЕННЫЙ ЛЕСНОЙ КОНТРОЛЬ (НАДЗОР), И ДОЛЖНОСТНЫМИ</w:t>
      </w:r>
    </w:p>
    <w:p>
      <w:pPr>
        <w:pStyle w:val="2"/>
        <w:jc w:val="center"/>
      </w:pPr>
      <w:r>
        <w:rPr>
          <w:sz w:val="20"/>
        </w:rPr>
        <w:t xml:space="preserve">ЛИЦАМИ, ОСУЩЕСТВЛЯЮЩИМИ ЛЕСНУЮ ОХРАНУ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остановление Правительства РФ от 28.02.2022 N 26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28.02.2022 N 263)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Правительство Российской Федерации постановляет:</w:t>
      </w:r>
    </w:p>
    <w:p>
      <w:pPr>
        <w:pStyle w:val="0"/>
        <w:jc w:val="both"/>
      </w:pPr>
      <w:r>
        <w:rPr>
          <w:sz w:val="20"/>
        </w:rPr>
        <w:t xml:space="preserve">(в ред. </w:t>
      </w:r>
      <w:hyperlink w:history="0" r:id="rId9" w:tooltip="Постановление Правительства РФ от 28.02.2022 N 26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28.02.2022 N 263)</w:t>
      </w:r>
    </w:p>
    <w:p>
      <w:pPr>
        <w:pStyle w:val="0"/>
        <w:spacing w:before="200" w:lineRule="auto"/>
        <w:ind w:firstLine="540"/>
        <w:jc w:val="both"/>
      </w:pPr>
      <w:r>
        <w:rPr>
          <w:sz w:val="20"/>
        </w:rPr>
        <w:t xml:space="preserve">Утвердить прилагаемые </w:t>
      </w:r>
      <w:hyperlink w:history="0" w:anchor="P32" w:tooltip="ПРАВИЛА">
        <w:r>
          <w:rPr>
            <w:sz w:val="20"/>
            <w:color w:val="0000ff"/>
          </w:rPr>
          <w:t xml:space="preserve">Правила</w:t>
        </w:r>
      </w:hyperlink>
      <w:r>
        <w:rPr>
          <w:sz w:val="20"/>
        </w:rPr>
        <w:t xml:space="preserve"> хранения, ношения и применения специальных средств должностными лицами, осуществляющими федеральный государственный лесной контроль (надзор), и должностными лицами, осуществляющими лесную охрану.</w:t>
      </w:r>
    </w:p>
    <w:p>
      <w:pPr>
        <w:pStyle w:val="0"/>
        <w:jc w:val="both"/>
      </w:pPr>
      <w:r>
        <w:rPr>
          <w:sz w:val="20"/>
        </w:rPr>
        <w:t xml:space="preserve">(в ред. </w:t>
      </w:r>
      <w:hyperlink w:history="0" r:id="rId10" w:tooltip="Постановление Правительства РФ от 28.02.2022 N 26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28.02.2022 N 263)</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В.ПУТИН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jc w:val="right"/>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3 февраля 2010 г. N 47</w:t>
      </w:r>
    </w:p>
    <w:p>
      <w:pPr>
        <w:pStyle w:val="0"/>
        <w:jc w:val="center"/>
      </w:pPr>
      <w:r>
        <w:rPr>
          <w:sz w:val="20"/>
        </w:rPr>
      </w:r>
    </w:p>
    <w:bookmarkStart w:id="32" w:name="P32"/>
    <w:bookmarkEnd w:id="32"/>
    <w:p>
      <w:pPr>
        <w:pStyle w:val="2"/>
        <w:jc w:val="center"/>
      </w:pPr>
      <w:r>
        <w:rPr>
          <w:sz w:val="20"/>
        </w:rPr>
        <w:t xml:space="preserve">ПРАВИЛА</w:t>
      </w:r>
    </w:p>
    <w:p>
      <w:pPr>
        <w:pStyle w:val="2"/>
        <w:jc w:val="center"/>
      </w:pPr>
      <w:r>
        <w:rPr>
          <w:sz w:val="20"/>
        </w:rPr>
        <w:t xml:space="preserve">ХРАНЕНИЯ, НОШЕНИЯ И ПРИМЕНЕНИЯ СПЕЦИАЛЬНЫХ</w:t>
      </w:r>
    </w:p>
    <w:p>
      <w:pPr>
        <w:pStyle w:val="2"/>
        <w:jc w:val="center"/>
      </w:pPr>
      <w:r>
        <w:rPr>
          <w:sz w:val="20"/>
        </w:rPr>
        <w:t xml:space="preserve">СРЕДСТВ ДОЛЖНОСТНЫМИ ЛИЦАМИ, ОСУЩЕСТВЛЯЮЩИМИ ФЕДЕРАЛЬНЫЙ</w:t>
      </w:r>
    </w:p>
    <w:p>
      <w:pPr>
        <w:pStyle w:val="2"/>
        <w:jc w:val="center"/>
      </w:pPr>
      <w:r>
        <w:rPr>
          <w:sz w:val="20"/>
        </w:rPr>
        <w:t xml:space="preserve">ГОСУДАРСТВЕННЫЙ ЛЕСНОЙ КОНТРОЛЬ (НАДЗОР), И ДОЛЖНОСТНЫМИ</w:t>
      </w:r>
    </w:p>
    <w:p>
      <w:pPr>
        <w:pStyle w:val="2"/>
        <w:jc w:val="center"/>
      </w:pPr>
      <w:r>
        <w:rPr>
          <w:sz w:val="20"/>
        </w:rPr>
        <w:t xml:space="preserve">ЛИЦАМИ, ОСУЩЕСТВЛЯЮЩИМИ ЛЕСНУЮ ОХРАНУ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 w:tooltip="Постановление Правительства РФ от 28.02.2022 N 26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28.02.2022 N 263)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Настоящие Правила определяют порядок хранения, ношения и применения специальных средств должностными лицами, осуществляющими федеральный государственный лесной контроль (надзор), и должностными лицами, осуществляющими лесную охрану (далее - должностные лица).</w:t>
      </w:r>
    </w:p>
    <w:p>
      <w:pPr>
        <w:pStyle w:val="0"/>
        <w:jc w:val="both"/>
      </w:pPr>
      <w:r>
        <w:rPr>
          <w:sz w:val="20"/>
        </w:rPr>
        <w:t xml:space="preserve">(в ред. </w:t>
      </w:r>
      <w:hyperlink w:history="0" r:id="rId12" w:tooltip="Постановление Правительства РФ от 28.02.2022 N 26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28.02.2022 N 263)</w:t>
      </w:r>
    </w:p>
    <w:p>
      <w:pPr>
        <w:pStyle w:val="0"/>
        <w:spacing w:before="200" w:lineRule="auto"/>
        <w:ind w:firstLine="540"/>
        <w:jc w:val="both"/>
      </w:pPr>
      <w:r>
        <w:rPr>
          <w:sz w:val="20"/>
        </w:rPr>
        <w:t xml:space="preserve">2. Должностные лица при исполнении возложенных на них обязанностей по осуществлению федерального государственного лесного контроля (надзора) и лесной охраны могут применять в качестве специальных средств:</w:t>
      </w:r>
    </w:p>
    <w:p>
      <w:pPr>
        <w:pStyle w:val="0"/>
        <w:jc w:val="both"/>
      </w:pPr>
      <w:r>
        <w:rPr>
          <w:sz w:val="20"/>
        </w:rPr>
        <w:t xml:space="preserve">(в ред. </w:t>
      </w:r>
      <w:hyperlink w:history="0" r:id="rId13" w:tooltip="Постановление Правительства РФ от 28.02.2022 N 26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28.02.2022 N 263)</w:t>
      </w:r>
    </w:p>
    <w:bookmarkStart w:id="44" w:name="P44"/>
    <w:bookmarkEnd w:id="44"/>
    <w:p>
      <w:pPr>
        <w:pStyle w:val="0"/>
        <w:spacing w:before="200" w:lineRule="auto"/>
        <w:ind w:firstLine="540"/>
        <w:jc w:val="both"/>
      </w:pPr>
      <w:r>
        <w:rPr>
          <w:sz w:val="20"/>
        </w:rPr>
        <w:t xml:space="preserve">резиновые палки;</w:t>
      </w:r>
    </w:p>
    <w:bookmarkStart w:id="45" w:name="P45"/>
    <w:bookmarkEnd w:id="45"/>
    <w:p>
      <w:pPr>
        <w:pStyle w:val="0"/>
        <w:spacing w:before="200" w:lineRule="auto"/>
        <w:ind w:firstLine="540"/>
        <w:jc w:val="both"/>
      </w:pPr>
      <w:r>
        <w:rPr>
          <w:sz w:val="20"/>
        </w:rPr>
        <w:t xml:space="preserve">слезоточивый газ;</w:t>
      </w:r>
    </w:p>
    <w:bookmarkStart w:id="46" w:name="P46"/>
    <w:bookmarkEnd w:id="46"/>
    <w:p>
      <w:pPr>
        <w:pStyle w:val="0"/>
        <w:spacing w:before="200" w:lineRule="auto"/>
        <w:ind w:firstLine="540"/>
        <w:jc w:val="both"/>
      </w:pPr>
      <w:r>
        <w:rPr>
          <w:sz w:val="20"/>
        </w:rPr>
        <w:t xml:space="preserve">наручники;</w:t>
      </w:r>
    </w:p>
    <w:bookmarkStart w:id="47" w:name="P47"/>
    <w:bookmarkEnd w:id="47"/>
    <w:p>
      <w:pPr>
        <w:pStyle w:val="0"/>
        <w:spacing w:before="200" w:lineRule="auto"/>
        <w:ind w:firstLine="540"/>
        <w:jc w:val="both"/>
      </w:pPr>
      <w:r>
        <w:rPr>
          <w:sz w:val="20"/>
        </w:rPr>
        <w:t xml:space="preserve">средства принудительной остановки транспорта.</w:t>
      </w:r>
    </w:p>
    <w:p>
      <w:pPr>
        <w:pStyle w:val="0"/>
        <w:spacing w:before="200" w:lineRule="auto"/>
        <w:ind w:firstLine="540"/>
        <w:jc w:val="both"/>
      </w:pPr>
      <w:r>
        <w:rPr>
          <w:sz w:val="20"/>
        </w:rPr>
        <w:t xml:space="preserve">Должностными лицами при исполнении указанных обязанностей могут использоваться служебные собаки.</w:t>
      </w:r>
    </w:p>
    <w:p>
      <w:pPr>
        <w:pStyle w:val="0"/>
        <w:spacing w:before="200" w:lineRule="auto"/>
        <w:ind w:firstLine="540"/>
        <w:jc w:val="both"/>
      </w:pPr>
      <w:r>
        <w:rPr>
          <w:sz w:val="20"/>
        </w:rPr>
        <w:t xml:space="preserve">3. Запрещается использовать технически неисправные специальные средства, срок годности, хранения или использования которых истек, за исключением случаев испытаний в целях проверки их технического состояния.</w:t>
      </w:r>
    </w:p>
    <w:p>
      <w:pPr>
        <w:pStyle w:val="0"/>
        <w:spacing w:before="200" w:lineRule="auto"/>
        <w:ind w:firstLine="540"/>
        <w:jc w:val="both"/>
      </w:pPr>
      <w:r>
        <w:rPr>
          <w:sz w:val="20"/>
        </w:rPr>
        <w:t xml:space="preserve">4. Должностные лица, имеющие право на использование специальных средств, обязаны выполнять установленные правила безопасного обращения с ними.</w:t>
      </w:r>
    </w:p>
    <w:p>
      <w:pPr>
        <w:pStyle w:val="0"/>
        <w:spacing w:before="200" w:lineRule="auto"/>
        <w:ind w:firstLine="540"/>
        <w:jc w:val="both"/>
      </w:pPr>
      <w:r>
        <w:rPr>
          <w:sz w:val="20"/>
        </w:rPr>
        <w:t xml:space="preserve">5. Должностные лица обязаны хранить специальные средства в опечатываемых, запирающихся на замок металлических шкафах (сейфах) в определенных эксплуатационной документацией условиях, обеспечивающих их сохранность, безопасность хранения и исключающих доступ к ним посторонних лиц.</w:t>
      </w:r>
    </w:p>
    <w:p>
      <w:pPr>
        <w:pStyle w:val="0"/>
        <w:spacing w:before="200" w:lineRule="auto"/>
        <w:ind w:firstLine="540"/>
        <w:jc w:val="both"/>
      </w:pPr>
      <w:r>
        <w:rPr>
          <w:sz w:val="20"/>
        </w:rPr>
        <w:t xml:space="preserve">6. Территориальные органы федеральных органов исполнительной власти, органы государственной власти субъектов Российской Федерации, государственные учреждения, подведомственные федеральным органам исполнительной власти, государственные учреждения, подведомственные органам государственной власти субъектов Российской Федерации, осуществляющие федеральный государственный лесной контроль (надзор), и территориальные органы федеральных органов исполнительной власти, органы государственной власти субъектов Российской Федерации, государственные учреждения, подведомственные федеральным органам исполнительной власти, государственные учреждения, подведомственные органам государственной власти субъектов Российской Федерации, а также органы местного самоуправления и муниципальные учреждения, подведомственные органам местного самоуправления (в пределах полномочий указанных органов), осуществляющие лесную охрану (далее - уполномоченные органы, учреждения, осуществляющие федеральный государственный лесной контроль (надзор) и лесную охрану), ведут учет специальных средств по типу и количеству изделий при их приеме на хранение, передаче, ремонте, расходе (в отношении слезоточивого газа) и уничтожении, выдаче и сдаче должностными лицами. Перечень, форма и порядок ведения соответствующих документов определяются Министерством внутренних дел Российской Федерации.</w:t>
      </w:r>
    </w:p>
    <w:p>
      <w:pPr>
        <w:pStyle w:val="0"/>
        <w:jc w:val="both"/>
      </w:pPr>
      <w:r>
        <w:rPr>
          <w:sz w:val="20"/>
        </w:rPr>
        <w:t xml:space="preserve">(п. 6 в ред. </w:t>
      </w:r>
      <w:hyperlink w:history="0" r:id="rId14" w:tooltip="Постановление Правительства РФ от 28.02.2022 N 26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28.02.2022 N 263)</w:t>
      </w:r>
    </w:p>
    <w:p>
      <w:pPr>
        <w:pStyle w:val="0"/>
        <w:spacing w:before="200" w:lineRule="auto"/>
        <w:ind w:firstLine="540"/>
        <w:jc w:val="both"/>
      </w:pPr>
      <w:r>
        <w:rPr>
          <w:sz w:val="20"/>
        </w:rPr>
        <w:t xml:space="preserve">7. Технически непригодные для эксплуатации специальные средства или специальные средства с истекшим сроком эксплуатации подлежат обязательному уничтожению. Методы и способы уничтожения специальных средств должны исключать возможность их последующего использования по прямому назначению.</w:t>
      </w:r>
    </w:p>
    <w:p>
      <w:pPr>
        <w:pStyle w:val="0"/>
        <w:spacing w:before="200" w:lineRule="auto"/>
        <w:ind w:firstLine="540"/>
        <w:jc w:val="both"/>
      </w:pPr>
      <w:r>
        <w:rPr>
          <w:sz w:val="20"/>
        </w:rPr>
        <w:t xml:space="preserve">Специальные средства, указанные в </w:t>
      </w:r>
      <w:hyperlink w:history="0" w:anchor="P44" w:tooltip="резиновые палки;">
        <w:r>
          <w:rPr>
            <w:sz w:val="20"/>
            <w:color w:val="0000ff"/>
          </w:rPr>
          <w:t xml:space="preserve">абзацах втором</w:t>
        </w:r>
      </w:hyperlink>
      <w:r>
        <w:rPr>
          <w:sz w:val="20"/>
        </w:rPr>
        <w:t xml:space="preserve">, </w:t>
      </w:r>
      <w:hyperlink w:history="0" w:anchor="P46" w:tooltip="наручники;">
        <w:r>
          <w:rPr>
            <w:sz w:val="20"/>
            <w:color w:val="0000ff"/>
          </w:rPr>
          <w:t xml:space="preserve">четвертом</w:t>
        </w:r>
      </w:hyperlink>
      <w:r>
        <w:rPr>
          <w:sz w:val="20"/>
        </w:rPr>
        <w:t xml:space="preserve"> и </w:t>
      </w:r>
      <w:hyperlink w:history="0" w:anchor="P47" w:tooltip="средства принудительной остановки транспорта.">
        <w:r>
          <w:rPr>
            <w:sz w:val="20"/>
            <w:color w:val="0000ff"/>
          </w:rPr>
          <w:t xml:space="preserve">пятом пункта 2</w:t>
        </w:r>
      </w:hyperlink>
      <w:r>
        <w:rPr>
          <w:sz w:val="20"/>
        </w:rPr>
        <w:t xml:space="preserve"> настоящих Правил, подлежат уничтожению уполномоченными органами, учреждениями, осуществляющими федеральный государственный лесной контроль (надзор) и лесную охрану, самостоятельно.</w:t>
      </w:r>
    </w:p>
    <w:p>
      <w:pPr>
        <w:pStyle w:val="0"/>
        <w:jc w:val="both"/>
      </w:pPr>
      <w:r>
        <w:rPr>
          <w:sz w:val="20"/>
        </w:rPr>
        <w:t xml:space="preserve">(в ред. </w:t>
      </w:r>
      <w:hyperlink w:history="0" r:id="rId15" w:tooltip="Постановление Правительства РФ от 28.02.2022 N 26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28.02.2022 N 263)</w:t>
      </w:r>
    </w:p>
    <w:p>
      <w:pPr>
        <w:pStyle w:val="0"/>
        <w:spacing w:before="200" w:lineRule="auto"/>
        <w:ind w:firstLine="540"/>
        <w:jc w:val="both"/>
      </w:pPr>
      <w:r>
        <w:rPr>
          <w:sz w:val="20"/>
        </w:rPr>
        <w:t xml:space="preserve">Специальные средства, указанные в </w:t>
      </w:r>
      <w:hyperlink w:history="0" w:anchor="P45" w:tooltip="слезоточивый газ;">
        <w:r>
          <w:rPr>
            <w:sz w:val="20"/>
            <w:color w:val="0000ff"/>
          </w:rPr>
          <w:t xml:space="preserve">абзаце третьем пункта 2</w:t>
        </w:r>
      </w:hyperlink>
      <w:r>
        <w:rPr>
          <w:sz w:val="20"/>
        </w:rPr>
        <w:t xml:space="preserve"> настоящих Правил, передаются для уничтожения в специализированные организации.</w:t>
      </w:r>
    </w:p>
    <w:p>
      <w:pPr>
        <w:pStyle w:val="0"/>
        <w:spacing w:before="200" w:lineRule="auto"/>
        <w:ind w:firstLine="540"/>
        <w:jc w:val="both"/>
      </w:pPr>
      <w:r>
        <w:rPr>
          <w:sz w:val="20"/>
        </w:rPr>
        <w:t xml:space="preserve">8. Уничтожение специальных средств уполномоченными органами, учреждениями, осуществляющими федеральный государственный лесной контроль (надзор) и лесную охрану, или передача специальных средств для их уничтожения специализированными организациями оформляются документами, перечень, форма и порядок ведения которых определяются Министерством внутренних дел Российской Федерации.</w:t>
      </w:r>
    </w:p>
    <w:p>
      <w:pPr>
        <w:pStyle w:val="0"/>
        <w:jc w:val="both"/>
      </w:pPr>
      <w:r>
        <w:rPr>
          <w:sz w:val="20"/>
        </w:rPr>
        <w:t xml:space="preserve">(в ред. </w:t>
      </w:r>
      <w:hyperlink w:history="0" r:id="rId16" w:tooltip="Постановление Правительства РФ от 28.02.2022 N 26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28.02.2022 N 263)</w:t>
      </w:r>
    </w:p>
    <w:p>
      <w:pPr>
        <w:pStyle w:val="0"/>
        <w:spacing w:before="200" w:lineRule="auto"/>
        <w:ind w:firstLine="540"/>
        <w:jc w:val="both"/>
      </w:pPr>
      <w:r>
        <w:rPr>
          <w:sz w:val="20"/>
        </w:rPr>
        <w:t xml:space="preserve">9. При ношении специальных средств должностные лица обязаны принять меры, исключающие возможность свободного доступа к специальным средствам посторонних лиц.</w:t>
      </w:r>
    </w:p>
    <w:p>
      <w:pPr>
        <w:pStyle w:val="0"/>
        <w:spacing w:before="200" w:lineRule="auto"/>
        <w:ind w:firstLine="540"/>
        <w:jc w:val="both"/>
      </w:pPr>
      <w:r>
        <w:rPr>
          <w:sz w:val="20"/>
        </w:rPr>
        <w:t xml:space="preserve">10. Запрещается находиться со служебными собаками без намордников в местах массового пребывания людей, а также передавать служебных собак другим лицам и оставлять их без присмотра.</w:t>
      </w:r>
    </w:p>
    <w:p>
      <w:pPr>
        <w:pStyle w:val="0"/>
        <w:spacing w:before="200" w:lineRule="auto"/>
        <w:ind w:firstLine="540"/>
        <w:jc w:val="both"/>
      </w:pPr>
      <w:r>
        <w:rPr>
          <w:sz w:val="20"/>
        </w:rPr>
        <w:t xml:space="preserve">11. Должностные лица при исполнении возложенных на них обязанностей по осуществлению федерального государственного лесного контроля (надзора) и лесной охраны:</w:t>
      </w:r>
    </w:p>
    <w:p>
      <w:pPr>
        <w:pStyle w:val="0"/>
        <w:jc w:val="both"/>
      </w:pPr>
      <w:r>
        <w:rPr>
          <w:sz w:val="20"/>
        </w:rPr>
        <w:t xml:space="preserve">(в ред. </w:t>
      </w:r>
      <w:hyperlink w:history="0" r:id="rId17" w:tooltip="Постановление Правительства РФ от 28.02.2022 N 26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28.02.2022 N 263)</w:t>
      </w:r>
    </w:p>
    <w:p>
      <w:pPr>
        <w:pStyle w:val="0"/>
        <w:spacing w:before="200" w:lineRule="auto"/>
        <w:ind w:firstLine="540"/>
        <w:jc w:val="both"/>
      </w:pPr>
      <w:r>
        <w:rPr>
          <w:sz w:val="20"/>
        </w:rPr>
        <w:t xml:space="preserve">а) применяют резиновые палки, слезоточивый газ, наручники, используют служебных собак - в случае пресечения сопротивления должностным лицам, оказываемого правонарушителем;</w:t>
      </w:r>
    </w:p>
    <w:p>
      <w:pPr>
        <w:pStyle w:val="0"/>
        <w:spacing w:before="200" w:lineRule="auto"/>
        <w:ind w:firstLine="540"/>
        <w:jc w:val="both"/>
      </w:pPr>
      <w:r>
        <w:rPr>
          <w:sz w:val="20"/>
        </w:rPr>
        <w:t xml:space="preserve">б) применяют слезоточивый газ, наручники, используют служебных собак - в случае задержания лиц, застигнутых при совершении преступления (правонарушения), если указанные лица пытаются скрыться либо имеются достаточные основания полагать, что они намерены оказать вооруженное сопротивление должностным лицам;</w:t>
      </w:r>
    </w:p>
    <w:p>
      <w:pPr>
        <w:pStyle w:val="0"/>
        <w:spacing w:before="200" w:lineRule="auto"/>
        <w:ind w:firstLine="540"/>
        <w:jc w:val="both"/>
      </w:pPr>
      <w:r>
        <w:rPr>
          <w:sz w:val="20"/>
        </w:rPr>
        <w:t xml:space="preserve">в) используют служебных собак - в случае оказания противодействия должностным лицам при доставлении задержанных лиц в служебное помещение уполномоченного органа, учреждения, осуществляющего федеральный государственный лесной контроль (надзор) и лесную охрану, или органа внутренних дел (полиции);</w:t>
      </w:r>
    </w:p>
    <w:p>
      <w:pPr>
        <w:pStyle w:val="0"/>
        <w:jc w:val="both"/>
      </w:pPr>
      <w:r>
        <w:rPr>
          <w:sz w:val="20"/>
        </w:rPr>
        <w:t xml:space="preserve">(в ред. </w:t>
      </w:r>
      <w:hyperlink w:history="0" r:id="rId18" w:tooltip="Постановление Правительства РФ от 28.02.2022 N 26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28.02.2022 N 263)</w:t>
      </w:r>
    </w:p>
    <w:p>
      <w:pPr>
        <w:pStyle w:val="0"/>
        <w:spacing w:before="200" w:lineRule="auto"/>
        <w:ind w:firstLine="540"/>
        <w:jc w:val="both"/>
      </w:pPr>
      <w:r>
        <w:rPr>
          <w:sz w:val="20"/>
        </w:rPr>
        <w:t xml:space="preserve">г) применяют средства принудительной остановки транспорта - если имеются достаточные основания полагать, что конкретное транспортное средство является орудием преступления или совершения административного правонарушения, но его водитель не выполнил требование должностных лиц остановиться.</w:t>
      </w:r>
    </w:p>
    <w:p>
      <w:pPr>
        <w:pStyle w:val="0"/>
        <w:spacing w:before="200" w:lineRule="auto"/>
        <w:ind w:firstLine="540"/>
        <w:jc w:val="both"/>
      </w:pPr>
      <w:r>
        <w:rPr>
          <w:sz w:val="20"/>
        </w:rPr>
        <w:t xml:space="preserve">12. Запрещается применять специальные средства и использовать служебных собак в отношении женщин с видимыми признаками беременности, лиц с явными признаками инвалидности и малолетних, за исключением случаев оказания указанными лицами вооруженного сопротивления, совершения нападения, угрожающего жизни или здоровью должностных лиц.</w:t>
      </w:r>
    </w:p>
    <w:p>
      <w:pPr>
        <w:pStyle w:val="0"/>
        <w:spacing w:before="200" w:lineRule="auto"/>
        <w:ind w:firstLine="540"/>
        <w:jc w:val="both"/>
      </w:pPr>
      <w:r>
        <w:rPr>
          <w:sz w:val="20"/>
        </w:rPr>
        <w:t xml:space="preserve">13. Должностные лица должны обеспечить оказание доврачебной помощи лицам, получившим телесные повреждения в результате применения специальных средств.</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03.02.2010 N 47</w:t>
            <w:br/>
            <w:t>(ред. от 28.02.2022)</w:t>
            <w:br/>
            <w:t>"Об утверждении Правил хранения, ношения и примен...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10711&amp;dst=100009" TargetMode = "External"/><Relationship Id="rId9" Type="http://schemas.openxmlformats.org/officeDocument/2006/relationships/hyperlink" Target="https://login.consultant.ru/link/?req=doc&amp;base=LAW&amp;n=410711&amp;dst=100011" TargetMode = "External"/><Relationship Id="rId10" Type="http://schemas.openxmlformats.org/officeDocument/2006/relationships/hyperlink" Target="https://login.consultant.ru/link/?req=doc&amp;base=LAW&amp;n=410711&amp;dst=100012" TargetMode = "External"/><Relationship Id="rId11" Type="http://schemas.openxmlformats.org/officeDocument/2006/relationships/hyperlink" Target="https://login.consultant.ru/link/?req=doc&amp;base=LAW&amp;n=410711&amp;dst=100013" TargetMode = "External"/><Relationship Id="rId12" Type="http://schemas.openxmlformats.org/officeDocument/2006/relationships/hyperlink" Target="https://login.consultant.ru/link/?req=doc&amp;base=LAW&amp;n=410711&amp;dst=100015" TargetMode = "External"/><Relationship Id="rId13" Type="http://schemas.openxmlformats.org/officeDocument/2006/relationships/hyperlink" Target="https://login.consultant.ru/link/?req=doc&amp;base=LAW&amp;n=410711&amp;dst=100016" TargetMode = "External"/><Relationship Id="rId14" Type="http://schemas.openxmlformats.org/officeDocument/2006/relationships/hyperlink" Target="https://login.consultant.ru/link/?req=doc&amp;base=LAW&amp;n=410711&amp;dst=100017" TargetMode = "External"/><Relationship Id="rId15" Type="http://schemas.openxmlformats.org/officeDocument/2006/relationships/hyperlink" Target="https://login.consultant.ru/link/?req=doc&amp;base=LAW&amp;n=410711&amp;dst=100019" TargetMode = "External"/><Relationship Id="rId16" Type="http://schemas.openxmlformats.org/officeDocument/2006/relationships/hyperlink" Target="https://login.consultant.ru/link/?req=doc&amp;base=LAW&amp;n=410711&amp;dst=100020" TargetMode = "External"/><Relationship Id="rId17" Type="http://schemas.openxmlformats.org/officeDocument/2006/relationships/hyperlink" Target="https://login.consultant.ru/link/?req=doc&amp;base=LAW&amp;n=410711&amp;dst=100022" TargetMode = "External"/><Relationship Id="rId18" Type="http://schemas.openxmlformats.org/officeDocument/2006/relationships/hyperlink" Target="https://login.consultant.ru/link/?req=doc&amp;base=LAW&amp;n=410711&amp;dst=10002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03.02.2010 N 47
(ред. от 28.02.2022)
"Об утверждении Правил хранения, ношения и применения специальных средств должностными лицами, осуществляющими федеральный государственный лесной контроль (надзор), и должностными лицами, осуществляющими лесную охрану"</dc:title>
  <dcterms:created xsi:type="dcterms:W3CDTF">2025-08-01T06:20:13Z</dcterms:created>
</cp:coreProperties>
</file>