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01.04.2022 N 244</w:t>
              <w:br/>
              <w:t xml:space="preserve">"Об утверждении Правил тушения лесных пожаров"</w:t>
              <w:br/>
              <w:t xml:space="preserve">(Зарегистрировано в Минюсте России 12.08.2022 N 69620)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12 августа 2022 г. N 69620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 апреля 2022 г. N 244</w:t>
      </w:r>
    </w:p>
    <w:p>
      <w:pPr>
        <w:pStyle w:val="2"/>
        <w:jc w:val="center"/>
      </w:pPr>
      <w:r>
        <w:rPr>
          <w:sz w:val="20"/>
        </w:rPr>
      </w:r>
    </w:p>
    <w:p>
      <w:pPr>
        <w:pStyle w:val="2"/>
        <w:jc w:val="center"/>
      </w:pPr>
      <w:r>
        <w:rPr>
          <w:sz w:val="20"/>
        </w:rPr>
        <w:t xml:space="preserve">ОБ УТВЕРЖДЕНИИ ПРАВИЛ ТУШЕНИЯ ЛЕСНЫХ ПОЖАРОВ</w:t>
      </w:r>
    </w:p>
    <w:p>
      <w:pPr>
        <w:pStyle w:val="0"/>
        <w:jc w:val="both"/>
      </w:pPr>
      <w:r>
        <w:rPr>
          <w:sz w:val="20"/>
        </w:rPr>
      </w:r>
    </w:p>
    <w:p>
      <w:pPr>
        <w:pStyle w:val="0"/>
        <w:ind w:firstLine="540"/>
        <w:jc w:val="both"/>
      </w:pPr>
      <w:r>
        <w:rPr>
          <w:sz w:val="20"/>
        </w:rPr>
        <w:t xml:space="preserve">В соответствии с </w:t>
      </w:r>
      <w:hyperlink w:history="0" r:id="rId7"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частью 3 статьи 53.4</w:t>
        </w:r>
      </w:hyperlink>
      <w:r>
        <w:rPr>
          <w:sz w:val="20"/>
        </w:rPr>
        <w:t xml:space="preserve"> Лесного кодекса Российской Федерации (Собрание законодательства Российской Федерации, 2006, N 50, ст. 5278; 2011, N 1, ст. 54) и на основании </w:t>
      </w:r>
      <w:hyperlink w:history="0" r:id="rId8"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КонсультантПлюс}">
        <w:r>
          <w:rPr>
            <w:sz w:val="20"/>
            <w:color w:val="0000ff"/>
          </w:rPr>
          <w:t xml:space="preserve">подпункта 5.2.137 пункта 5</w:t>
        </w:r>
      </w:hyperlink>
      <w:r>
        <w:rPr>
          <w:sz w:val="20"/>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приказываю:</w:t>
      </w:r>
    </w:p>
    <w:p>
      <w:pPr>
        <w:pStyle w:val="0"/>
        <w:spacing w:before="200" w:line-rule="auto"/>
        <w:ind w:firstLine="540"/>
        <w:jc w:val="both"/>
      </w:pPr>
      <w:r>
        <w:rPr>
          <w:sz w:val="20"/>
        </w:rPr>
        <w:t xml:space="preserve">1. Утвердить прилагаемые </w:t>
      </w:r>
      <w:hyperlink w:history="0" w:anchor="P28" w:tooltip="ПРАВИЛА ТУШЕНИЯ ЛЕСНЫХ ПОЖАРОВ">
        <w:r>
          <w:rPr>
            <w:sz w:val="20"/>
            <w:color w:val="0000ff"/>
          </w:rPr>
          <w:t xml:space="preserve">Правила</w:t>
        </w:r>
      </w:hyperlink>
      <w:r>
        <w:rPr>
          <w:sz w:val="20"/>
        </w:rPr>
        <w:t xml:space="preserve"> тушения лесных пожаров.</w:t>
      </w:r>
    </w:p>
    <w:p>
      <w:pPr>
        <w:pStyle w:val="0"/>
        <w:spacing w:before="200" w:line-rule="auto"/>
        <w:ind w:firstLine="540"/>
        <w:jc w:val="both"/>
      </w:pPr>
      <w:r>
        <w:rPr>
          <w:sz w:val="20"/>
        </w:rPr>
        <w:t xml:space="preserve">2. Признать утратившим силу </w:t>
      </w:r>
      <w:hyperlink w:history="0" r:id="rId9" w:tooltip="Приказ Минприроды России от 08.07.2014 N 313 (ред. от 16.02.2017) &quot;Об утверждении Правил тушения лесных пожаров&quot; (Зарегистрировано в Минюсте России 08.08.2014 N 33484)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8 июля 2014 г. N 313 "Об утверждении Правил тушения лесных пожаров" (зарегистрирован Министерством юстиции Российской Федерации 8 августа 2014 г., регистрационный N 33484), с изменениями, внесенными приказами Министерства природных ресурсов и экологии Российской Федерации от 8 октября 2015 г. N 426 (зарегистрирован Министерством юстиции Российской Федерации 30 октября 2015 г., регистрационный N 39552), от 16 февраля 2017 г. N 64 (зарегистрирован Министерством юстиции Российской Федерации 15 мая 2017 г., регистрационный N 46730).</w:t>
      </w:r>
    </w:p>
    <w:p>
      <w:pPr>
        <w:pStyle w:val="0"/>
        <w:spacing w:before="200" w:line-rule="auto"/>
        <w:ind w:firstLine="540"/>
        <w:jc w:val="both"/>
      </w:pPr>
      <w:r>
        <w:rPr>
          <w:sz w:val="20"/>
        </w:rPr>
        <w:t xml:space="preserve">3. Настоящий приказ вступает в силу с 1 марта 2023 г. и действует до 1 марта 2029 г.</w:t>
      </w:r>
    </w:p>
    <w:p>
      <w:pPr>
        <w:pStyle w:val="0"/>
        <w:jc w:val="both"/>
      </w:pPr>
      <w:r>
        <w:rPr>
          <w:sz w:val="20"/>
        </w:rPr>
      </w:r>
    </w:p>
    <w:p>
      <w:pPr>
        <w:pStyle w:val="0"/>
        <w:jc w:val="right"/>
      </w:pPr>
      <w:r>
        <w:rPr>
          <w:sz w:val="20"/>
        </w:rPr>
        <w:t xml:space="preserve">Министр</w:t>
      </w:r>
    </w:p>
    <w:p>
      <w:pPr>
        <w:pStyle w:val="0"/>
        <w:jc w:val="right"/>
      </w:pPr>
      <w:r>
        <w:rPr>
          <w:sz w:val="20"/>
        </w:rPr>
        <w:t xml:space="preserve">А.А.КОЗЛОВ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Минприроды России</w:t>
      </w:r>
    </w:p>
    <w:p>
      <w:pPr>
        <w:pStyle w:val="0"/>
        <w:jc w:val="right"/>
      </w:pPr>
      <w:r>
        <w:rPr>
          <w:sz w:val="20"/>
        </w:rPr>
        <w:t xml:space="preserve">от 01.04.2022 N 244</w:t>
      </w:r>
    </w:p>
    <w:p>
      <w:pPr>
        <w:pStyle w:val="0"/>
        <w:jc w:val="both"/>
      </w:pPr>
      <w:r>
        <w:rPr>
          <w:sz w:val="20"/>
        </w:rPr>
      </w:r>
    </w:p>
    <w:bookmarkStart w:id="28" w:name="P28"/>
    <w:bookmarkEnd w:id="28"/>
    <w:p>
      <w:pPr>
        <w:pStyle w:val="2"/>
        <w:jc w:val="center"/>
      </w:pPr>
      <w:r>
        <w:rPr>
          <w:sz w:val="20"/>
        </w:rPr>
        <w:t xml:space="preserve">ПРАВИЛА ТУШЕНИЯ ЛЕСНЫХ ПОЖАРОВ</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разработаны в соответствии со </w:t>
      </w:r>
      <w:hyperlink w:history="0" r:id="rId10"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статьей 53.4</w:t>
        </w:r>
      </w:hyperlink>
      <w:r>
        <w:rPr>
          <w:sz w:val="20"/>
        </w:rPr>
        <w:t xml:space="preserve"> Лесного кодекса Российской Федерации (Собрание законодательства Российской Федерации, 2006, N 50, ст. 5278; 2011, N 1, ст. 54; 2021, N 6, ст. 958), Федеральным </w:t>
      </w:r>
      <w:hyperlink w:history="0" r:id="rId11" w:tooltip="Федеральный закон от 21.12.1994 N 69-ФЗ (ред. от 08.08.2024) &quot;О пожарной безопасности&quot; (с изм. и доп., вступ. в силу с 01.03.2025) {КонсультантПлюс}">
        <w:r>
          <w:rPr>
            <w:sz w:val="20"/>
            <w:color w:val="0000ff"/>
          </w:rPr>
          <w:t xml:space="preserve">законом</w:t>
        </w:r>
      </w:hyperlink>
      <w:r>
        <w:rPr>
          <w:sz w:val="20"/>
        </w:rPr>
        <w:t xml:space="preserve"> от 21 декабря 1994 г. N 69-ФЗ "О пожарной безопасности" (Собрание законодательства Российской Федерации, 1994, N 35, ст. 3649; 2022, N 29, ст. 5315) (далее - Федеральный закон "О пожарной безопасности"), Федеральным </w:t>
      </w:r>
      <w:hyperlink w:history="0" r:id="rId12"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от 21 декабря 1994 г.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2022, N 1, ст. 28) (далее - Федеральный закон "О защите населения и территорий от чрезвычайных ситуаций природного и техногенного характера").</w:t>
      </w:r>
    </w:p>
    <w:p>
      <w:pPr>
        <w:pStyle w:val="0"/>
        <w:spacing w:before="200" w:line-rule="auto"/>
        <w:ind w:firstLine="540"/>
        <w:jc w:val="both"/>
      </w:pPr>
      <w:r>
        <w:rPr>
          <w:sz w:val="20"/>
        </w:rPr>
        <w:t xml:space="preserve">2. Настоящие Правила установлены в целях:</w:t>
      </w:r>
    </w:p>
    <w:p>
      <w:pPr>
        <w:pStyle w:val="0"/>
        <w:spacing w:before="200" w:line-rule="auto"/>
        <w:ind w:firstLine="540"/>
        <w:jc w:val="both"/>
      </w:pPr>
      <w:r>
        <w:rPr>
          <w:sz w:val="20"/>
        </w:rPr>
        <w:t xml:space="preserve">а) организации руководства работами по тушению лесных пожаров;</w:t>
      </w:r>
    </w:p>
    <w:p>
      <w:pPr>
        <w:pStyle w:val="0"/>
        <w:spacing w:before="200" w:line-rule="auto"/>
        <w:ind w:firstLine="540"/>
        <w:jc w:val="both"/>
      </w:pPr>
      <w:r>
        <w:rPr>
          <w:sz w:val="20"/>
        </w:rPr>
        <w:t xml:space="preserve">б) предупреждения и ликвидации чрезвычайных ситуаций в лесах, возникших вследствие лесных пожаров;</w:t>
      </w:r>
    </w:p>
    <w:p>
      <w:pPr>
        <w:pStyle w:val="0"/>
        <w:spacing w:before="200" w:line-rule="auto"/>
        <w:ind w:firstLine="540"/>
        <w:jc w:val="both"/>
      </w:pPr>
      <w:r>
        <w:rPr>
          <w:sz w:val="20"/>
        </w:rPr>
        <w:t xml:space="preserve">в) организации межведомственного взаимодействия при выполнении работ по тушению лесных пожаров.</w:t>
      </w:r>
    </w:p>
    <w:p>
      <w:pPr>
        <w:pStyle w:val="0"/>
        <w:spacing w:before="200" w:line-rule="auto"/>
        <w:ind w:firstLine="540"/>
        <w:jc w:val="both"/>
      </w:pPr>
      <w:r>
        <w:rPr>
          <w:sz w:val="20"/>
        </w:rPr>
        <w:t xml:space="preserve">3. Работы по тушению лесных пожаров выполняются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r:id="rId13"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статьями 81</w:t>
        </w:r>
      </w:hyperlink>
      <w:r>
        <w:rPr>
          <w:sz w:val="20"/>
        </w:rPr>
        <w:t xml:space="preserve"> - </w:t>
      </w:r>
      <w:hyperlink w:history="0" r:id="rId14" w:tooltip="&quot;Лесной кодекс Российской Федерации&quot; от 04.12.2006 N 200-ФЗ (ред. от 26.12.2024) (с изм. и доп., вступ. в силу с 01.01.2025) {КонсультантПлюс}">
        <w:r>
          <w:rPr>
            <w:sz w:val="20"/>
            <w:color w:val="0000ff"/>
          </w:rPr>
          <w:t xml:space="preserve">84</w:t>
        </w:r>
      </w:hyperlink>
      <w:r>
        <w:rPr>
          <w:sz w:val="20"/>
        </w:rPr>
        <w:t xml:space="preserve"> Лесного кодекса Российской Федерации (Собрание законодательства Российской Федерации, 2006, N 50, ст. 5278; 2021, N 27, ст. 5131, ст. 5132), иными организациями в соответствии с </w:t>
      </w:r>
      <w:hyperlink w:history="0" r:id="rId15"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частями 2</w:t>
        </w:r>
      </w:hyperlink>
      <w:r>
        <w:rPr>
          <w:sz w:val="20"/>
        </w:rPr>
        <w:t xml:space="preserve">, </w:t>
      </w:r>
      <w:hyperlink w:history="0" r:id="rId16" w:tooltip="&quot;Лесной кодекс Российской Федерации&quot; от 04.12.2006 N 200-ФЗ (ред. от 26.12.2024) (с изм. и доп., вступ. в силу с 01.01.2025) {КонсультантПлюс}">
        <w:r>
          <w:rPr>
            <w:sz w:val="20"/>
            <w:color w:val="0000ff"/>
          </w:rPr>
          <w:t xml:space="preserve">4 статьи 19</w:t>
        </w:r>
      </w:hyperlink>
      <w:r>
        <w:rPr>
          <w:sz w:val="20"/>
        </w:rPr>
        <w:t xml:space="preserve"> Лесного кодекса Российской Федерации (Собрание законодательства Российской Федерации, 2006, N 50, ст. N 5278; 2021, N 27, ст. 5132) (далее - лесопожарные формирования).</w:t>
      </w:r>
    </w:p>
    <w:p>
      <w:pPr>
        <w:pStyle w:val="0"/>
        <w:spacing w:before="200" w:line-rule="auto"/>
        <w:ind w:firstLine="540"/>
        <w:jc w:val="both"/>
      </w:pPr>
      <w:r>
        <w:rPr>
          <w:sz w:val="20"/>
        </w:rPr>
        <w:t xml:space="preserve">В соответствии со </w:t>
      </w:r>
      <w:hyperlink w:history="0" r:id="rId17" w:tooltip="Федеральный закон от 21.12.1994 N 69-ФЗ (ред. от 08.08.2024) &quot;О пожарной безопасности&quot; (с изм. и доп., вступ. в силу с 01.03.2025) {КонсультантПлюс}">
        <w:r>
          <w:rPr>
            <w:sz w:val="20"/>
            <w:color w:val="0000ff"/>
          </w:rPr>
          <w:t xml:space="preserve">статьей 22.1</w:t>
        </w:r>
      </w:hyperlink>
      <w:r>
        <w:rPr>
          <w:sz w:val="20"/>
        </w:rPr>
        <w:t xml:space="preserve"> Федерального закона "О пожарной безопасности" (Собрание законодательства Российской Федерации, 1994, N 35, ст. 3649; 2016, N 26, ст. 3887) при тушении лесных пожаров функции по координации всех сил и средств тушения лесных пожаров возлагаются на Федеральное агентство лесного хозяйства. Федеральным агентством лесного хозяйства создается федеральный штаб по координации деятельности по тушению лесных пожаров, а также соответствующие штабы в федеральных округах. Указания федерального штаба, а также соответствующих штабов в федеральных округах по координации деятельности по тушению лесных пожаров, выданные в пределах его компетенции, обязательны для исполнения.</w:t>
      </w:r>
    </w:p>
    <w:p>
      <w:pPr>
        <w:pStyle w:val="0"/>
        <w:spacing w:before="200" w:line-rule="auto"/>
        <w:ind w:firstLine="540"/>
        <w:jc w:val="both"/>
      </w:pPr>
      <w:r>
        <w:rPr>
          <w:sz w:val="20"/>
        </w:rPr>
        <w:t xml:space="preserve">Решение о привлечении сил и средств единой государственной системы предупреждения и ликвидации чрезвычайной ситуации (далее - РСЧС) муниципального уровня может быть принято при соблюдении не менее двух условий:</w:t>
      </w:r>
    </w:p>
    <w:p>
      <w:pPr>
        <w:pStyle w:val="0"/>
        <w:spacing w:before="200" w:line-rule="auto"/>
        <w:ind w:firstLine="540"/>
        <w:jc w:val="both"/>
      </w:pPr>
      <w:r>
        <w:rPr>
          <w:sz w:val="20"/>
        </w:rPr>
        <w:t xml:space="preserve">площадь лесного пожара - 25 га и более в районе применения наземных сил и средств, 200 га и более в районе применения авиационных сил и средств;</w:t>
      </w:r>
    </w:p>
    <w:p>
      <w:pPr>
        <w:pStyle w:val="0"/>
        <w:spacing w:before="200" w:line-rule="auto"/>
        <w:ind w:firstLine="540"/>
        <w:jc w:val="both"/>
      </w:pPr>
      <w:r>
        <w:rPr>
          <w:sz w:val="20"/>
        </w:rPr>
        <w:t xml:space="preserve">лесной пожар действует в 5 километровой зоне от границы населенного пункта или объекта экономики, особо охраняемой природной территории (далее - ООПТ);</w:t>
      </w:r>
    </w:p>
    <w:p>
      <w:pPr>
        <w:pStyle w:val="0"/>
        <w:spacing w:before="200" w:line-rule="auto"/>
        <w:ind w:firstLine="540"/>
        <w:jc w:val="both"/>
      </w:pPr>
      <w:r>
        <w:rPr>
          <w:sz w:val="20"/>
        </w:rPr>
        <w:t xml:space="preserve">количество задействованных сил и средств лесопожарных формирований составляет более 50% от данных плана тушения лесных пожаров на территории лесничеств;</w:t>
      </w:r>
    </w:p>
    <w:p>
      <w:pPr>
        <w:pStyle w:val="0"/>
        <w:spacing w:before="200" w:line-rule="auto"/>
        <w:ind w:firstLine="540"/>
        <w:jc w:val="both"/>
      </w:pPr>
      <w:r>
        <w:rPr>
          <w:sz w:val="20"/>
        </w:rPr>
        <w:t xml:space="preserve">на территории муниципального района действует 5 класс пожарной опасности в лесах в зависимости от условий погоды.</w:t>
      </w:r>
    </w:p>
    <w:p>
      <w:pPr>
        <w:pStyle w:val="0"/>
        <w:spacing w:before="200" w:line-rule="auto"/>
        <w:ind w:firstLine="540"/>
        <w:jc w:val="both"/>
      </w:pPr>
      <w:r>
        <w:rPr>
          <w:sz w:val="20"/>
        </w:rPr>
        <w:t xml:space="preserve">Решение о привлечении сил РСЧС регионального уровня может быть принято при соблюдении не менее двух условий:</w:t>
      </w:r>
    </w:p>
    <w:p>
      <w:pPr>
        <w:pStyle w:val="0"/>
        <w:spacing w:before="200" w:line-rule="auto"/>
        <w:ind w:firstLine="540"/>
        <w:jc w:val="both"/>
      </w:pPr>
      <w:r>
        <w:rPr>
          <w:sz w:val="20"/>
        </w:rPr>
        <w:t xml:space="preserve">площадь лесного пожара - 25 га и более в районе применения наземных сил и средств, 200 га и более в районе применения авиационных сил и средств;</w:t>
      </w:r>
    </w:p>
    <w:p>
      <w:pPr>
        <w:pStyle w:val="0"/>
        <w:spacing w:before="200" w:line-rule="auto"/>
        <w:ind w:firstLine="540"/>
        <w:jc w:val="both"/>
      </w:pPr>
      <w:r>
        <w:rPr>
          <w:sz w:val="20"/>
        </w:rPr>
        <w:t xml:space="preserve">лесной пожар действует в 5 километровой зоне от границы населенного пункта или объекта экономики, ООПТ;</w:t>
      </w:r>
    </w:p>
    <w:p>
      <w:pPr>
        <w:pStyle w:val="0"/>
        <w:spacing w:before="200" w:line-rule="auto"/>
        <w:ind w:firstLine="540"/>
        <w:jc w:val="both"/>
      </w:pPr>
      <w:r>
        <w:rPr>
          <w:sz w:val="20"/>
        </w:rPr>
        <w:t xml:space="preserve">количество задействованных сил и средств лесопожарных формирований составляет более 50% от данных сводного плана тушения лесных пожаров на территории субъекта Российской Федерации;</w:t>
      </w:r>
    </w:p>
    <w:p>
      <w:pPr>
        <w:pStyle w:val="0"/>
        <w:spacing w:before="200" w:line-rule="auto"/>
        <w:ind w:firstLine="540"/>
        <w:jc w:val="both"/>
      </w:pPr>
      <w:r>
        <w:rPr>
          <w:sz w:val="20"/>
        </w:rPr>
        <w:t xml:space="preserve">на территории двух или более муниципальных районов действует 5 класс пожарной опасности, в зависимости от условий погоды.</w:t>
      </w:r>
    </w:p>
    <w:p>
      <w:pPr>
        <w:pStyle w:val="0"/>
        <w:spacing w:before="200" w:line-rule="auto"/>
        <w:ind w:firstLine="540"/>
        <w:jc w:val="both"/>
      </w:pPr>
      <w:r>
        <w:rPr>
          <w:sz w:val="20"/>
        </w:rPr>
        <w:t xml:space="preserve">Решение о привлечении сил РСЧС межрегионального и федерального уровней может быть принято при соблюдении не менее трех условий:</w:t>
      </w:r>
    </w:p>
    <w:p>
      <w:pPr>
        <w:pStyle w:val="0"/>
        <w:spacing w:before="200" w:line-rule="auto"/>
        <w:ind w:firstLine="540"/>
        <w:jc w:val="both"/>
      </w:pPr>
      <w:r>
        <w:rPr>
          <w:sz w:val="20"/>
        </w:rPr>
        <w:t xml:space="preserve">площадь лесного пожара - 25 га и более в районе применения наземных сил и средств, 200 га и более в районе применения авиационных сил и средств;</w:t>
      </w:r>
    </w:p>
    <w:p>
      <w:pPr>
        <w:pStyle w:val="0"/>
        <w:spacing w:before="200" w:line-rule="auto"/>
        <w:ind w:firstLine="540"/>
        <w:jc w:val="both"/>
      </w:pPr>
      <w:r>
        <w:rPr>
          <w:sz w:val="20"/>
        </w:rPr>
        <w:t xml:space="preserve">количество или площадь действующих лесных пожаров превышает средний 5-летний показатель в 2 и более раза;</w:t>
      </w:r>
    </w:p>
    <w:p>
      <w:pPr>
        <w:pStyle w:val="0"/>
        <w:spacing w:before="200" w:line-rule="auto"/>
        <w:ind w:firstLine="540"/>
        <w:jc w:val="both"/>
      </w:pPr>
      <w:r>
        <w:rPr>
          <w:sz w:val="20"/>
        </w:rPr>
        <w:t xml:space="preserve">количество задействованных сил и средств лесопожарных формирований составляет более 80% от данных сводного плана тушения лесных пожаров на территории субъекта Российской Федерации;</w:t>
      </w:r>
    </w:p>
    <w:p>
      <w:pPr>
        <w:pStyle w:val="0"/>
        <w:spacing w:before="200" w:line-rule="auto"/>
        <w:ind w:firstLine="540"/>
        <w:jc w:val="both"/>
      </w:pPr>
      <w:r>
        <w:rPr>
          <w:sz w:val="20"/>
        </w:rPr>
        <w:t xml:space="preserve">лесной пожар действует в 5 километровой зоне от границы населенного пункта или объекта экономики, ООПТ;</w:t>
      </w:r>
    </w:p>
    <w:p>
      <w:pPr>
        <w:pStyle w:val="0"/>
        <w:spacing w:before="200" w:line-rule="auto"/>
        <w:ind w:firstLine="540"/>
        <w:jc w:val="both"/>
      </w:pPr>
      <w:r>
        <w:rPr>
          <w:sz w:val="20"/>
        </w:rPr>
        <w:t xml:space="preserve">пожар действует на границе двух субъектов Российской Федерации.</w:t>
      </w:r>
    </w:p>
    <w:p>
      <w:pPr>
        <w:pStyle w:val="0"/>
        <w:spacing w:before="200" w:line-rule="auto"/>
        <w:ind w:firstLine="540"/>
        <w:jc w:val="both"/>
      </w:pPr>
      <w:r>
        <w:rPr>
          <w:sz w:val="20"/>
        </w:rPr>
        <w:t xml:space="preserve">Силы и средства федеральных органов исполнительной власти привлекаются для ликвидации чрезвычайных ситуаций в лесах, возникших вследствие лесных пожаров, в соответствии с </w:t>
      </w:r>
      <w:hyperlink w:history="0" r:id="rId18" w:tooltip="Постановление Правительства РФ от 02.12.2017 N 1464 &quot;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quot; (вместе с &quot;Правилами привлечения сил и средств федеральных органов исполнительной власти для ликвидации чрезвычайных ситуаций в лесах, возникших вследствие лесных пожаров&quot;) {КонсультантПлюс}">
        <w:r>
          <w:rPr>
            <w:sz w:val="20"/>
            <w:color w:val="0000ff"/>
          </w:rPr>
          <w:t xml:space="preserve">Правилами</w:t>
        </w:r>
      </w:hyperlink>
      <w:r>
        <w:rPr>
          <w:sz w:val="20"/>
        </w:rPr>
        <w:t xml:space="preserve"> привлечения сил и средств федеральных органов исполнительной власти для ликвидации чрезвычайных ситуаций в лесах, возникших вследствие лесных пожаров, утвержденными постановлением Правительства Российской Федерации от 2 декабря 2017 г. N 1464 (Собрание законодательства Российской Федерации, 2017, N 50, ст. 7623).</w:t>
      </w:r>
    </w:p>
    <w:p>
      <w:pPr>
        <w:pStyle w:val="0"/>
        <w:spacing w:before="200" w:line-rule="auto"/>
        <w:ind w:firstLine="540"/>
        <w:jc w:val="both"/>
      </w:pPr>
      <w:r>
        <w:rPr>
          <w:sz w:val="20"/>
        </w:rPr>
        <w:t xml:space="preserve">Организация и функционирование единой государственной системы предупреждения и ликвидации чрезвычайных ситуаций (РСЧС), в том числе привлечение сил РСЧС для ликвидации чрезвычайных ситуаций в лесах, возникших вследствие лесных пожаров, осуществляются в соответствии с </w:t>
      </w:r>
      <w:hyperlink w:history="0" r:id="rId19"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0"/>
            <w:color w:val="0000ff"/>
          </w:rPr>
          <w:t xml:space="preserve">постановлением</w:t>
        </w:r>
      </w:hyperlink>
      <w:r>
        <w:rPr>
          <w:sz w:val="20"/>
        </w:rPr>
        <w:t xml:space="preserve"> Правительства Российской Федерации от 30 декабря 2003 г. N 794 "О единой государственной системе предупреждения и ликвидации чрезвычайных ситуаций" (Собрание законодательства Российской Федерации, 2004, N 2, ст. 121; 2022, N 26, ст. 4476).</w:t>
      </w:r>
    </w:p>
    <w:p>
      <w:pPr>
        <w:pStyle w:val="0"/>
        <w:spacing w:before="200" w:line-rule="auto"/>
        <w:ind w:firstLine="540"/>
        <w:jc w:val="both"/>
      </w:pPr>
      <w:r>
        <w:rPr>
          <w:sz w:val="20"/>
        </w:rPr>
        <w:t xml:space="preserve">4. В целях установления режима и способов тушения лесных пожаров территории, на которых расположены леса, разделяются на районы применения авиационных сил и средств пожаротушения и наземных сил и средств пожаротушения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0"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74) {КонсультантПлюс}">
        <w:r>
          <w:rPr>
            <w:sz w:val="20"/>
            <w:color w:val="0000ff"/>
          </w:rPr>
          <w:t xml:space="preserve">Подпункт "а" пункта 17</w:t>
        </w:r>
      </w:hyperlink>
      <w:r>
        <w:rPr>
          <w:sz w:val="20"/>
        </w:rPr>
        <w:t xml:space="preserve"> Порядка организации и выполнения авиационных работ по охране лесов от пожаров, утвержденного приказом Министерства природных ресурсов и экологии Российской Федерации от 15 ноября 2016 г. N 597 (зарегистрирован Министерством юстиции Российской Федерации 30 марта 2017 г., регистрационный N 46174).</w:t>
      </w:r>
    </w:p>
    <w:p>
      <w:pPr>
        <w:pStyle w:val="0"/>
        <w:jc w:val="both"/>
      </w:pPr>
      <w:r>
        <w:rPr>
          <w:sz w:val="20"/>
        </w:rPr>
      </w:r>
    </w:p>
    <w:p>
      <w:pPr>
        <w:pStyle w:val="0"/>
        <w:ind w:firstLine="540"/>
        <w:jc w:val="both"/>
      </w:pPr>
      <w:r>
        <w:rPr>
          <w:sz w:val="20"/>
        </w:rPr>
        <w:t xml:space="preserve">5. Районы применения авиационных сил и средств пожаротушения устанавливаются в лесах, расположенных на труднодоступных и удаленных территориях со слаборазвитой или отсутствующей дорожной сетью, на которых прибытие наземных сил и средств пожаротушения в течение 3 часов с момента обнаружения лесного пожара невозможно. В районе применения авиационных сил и средств пожаротушения в лесах, расположенных на труднодоступных и удаленных территориях, могут устанавливаться зоны контроля лесных пожаров.</w:t>
      </w:r>
    </w:p>
    <w:p>
      <w:pPr>
        <w:pStyle w:val="0"/>
        <w:spacing w:before="200" w:line-rule="auto"/>
        <w:ind w:firstLine="540"/>
        <w:jc w:val="both"/>
      </w:pPr>
      <w:r>
        <w:rPr>
          <w:sz w:val="20"/>
        </w:rPr>
        <w:t xml:space="preserve">Зоны контроля лесных пожаров на землях лесного фонда устанавливаются органами исполнительной власти субъектов Российской Федерации, уполномоченными в области лесных отношений, в зоне осуществления лесоавиационных работ в лесах, расположенных на труднодоступных и (или) удаленных территориях по согласованию с уполномоченным федеральным органом исполнительной власти.</w:t>
      </w:r>
    </w:p>
    <w:p>
      <w:pPr>
        <w:pStyle w:val="0"/>
        <w:spacing w:before="200" w:line-rule="auto"/>
        <w:ind w:firstLine="540"/>
        <w:jc w:val="both"/>
      </w:pPr>
      <w:r>
        <w:rPr>
          <w:sz w:val="20"/>
        </w:rPr>
        <w:t xml:space="preserve">При выделении зон контроля лесных пожаров не допускается включение в их состав лесных участков, предоставленных в аренду или постоянное (бессрочное) пользование либо планируемых для использования в соответствии с лесным планом субъекта Российской Федерации для указанных ниже видов использования лесов, а также ООПТ.</w:t>
      </w:r>
    </w:p>
    <w:p>
      <w:pPr>
        <w:pStyle w:val="0"/>
        <w:spacing w:before="200" w:line-rule="auto"/>
        <w:ind w:firstLine="540"/>
        <w:jc w:val="both"/>
      </w:pPr>
      <w:r>
        <w:rPr>
          <w:sz w:val="20"/>
        </w:rPr>
        <w:t xml:space="preserve">К указанным видам использования лесов относятся:</w:t>
      </w:r>
    </w:p>
    <w:p>
      <w:pPr>
        <w:pStyle w:val="0"/>
        <w:spacing w:before="200" w:line-rule="auto"/>
        <w:ind w:firstLine="540"/>
        <w:jc w:val="both"/>
      </w:pPr>
      <w:r>
        <w:rPr>
          <w:sz w:val="20"/>
        </w:rPr>
        <w:t xml:space="preserve">заготовка древесины;</w:t>
      </w:r>
    </w:p>
    <w:p>
      <w:pPr>
        <w:pStyle w:val="0"/>
        <w:spacing w:before="200" w:line-rule="auto"/>
        <w:ind w:firstLine="540"/>
        <w:jc w:val="both"/>
      </w:pPr>
      <w:r>
        <w:rPr>
          <w:sz w:val="20"/>
        </w:rPr>
        <w:t xml:space="preserve">осуществление научно-исследовательской деятельности, образовательной деятельности;</w:t>
      </w:r>
    </w:p>
    <w:p>
      <w:pPr>
        <w:pStyle w:val="0"/>
        <w:spacing w:before="200" w:line-rule="auto"/>
        <w:ind w:firstLine="540"/>
        <w:jc w:val="both"/>
      </w:pPr>
      <w:r>
        <w:rPr>
          <w:sz w:val="20"/>
        </w:rPr>
        <w:t xml:space="preserve">осуществление рекреационной деятельности;</w:t>
      </w:r>
    </w:p>
    <w:p>
      <w:pPr>
        <w:pStyle w:val="0"/>
        <w:spacing w:before="200" w:line-rule="auto"/>
        <w:ind w:firstLine="540"/>
        <w:jc w:val="both"/>
      </w:pPr>
      <w:r>
        <w:rPr>
          <w:sz w:val="20"/>
        </w:rPr>
        <w:t xml:space="preserve">создание лесных плантаций и их эксплуатация;</w:t>
      </w:r>
    </w:p>
    <w:p>
      <w:pPr>
        <w:pStyle w:val="0"/>
        <w:spacing w:before="200" w:line-rule="auto"/>
        <w:ind w:firstLine="540"/>
        <w:jc w:val="both"/>
      </w:pPr>
      <w:r>
        <w:rPr>
          <w:sz w:val="20"/>
        </w:rPr>
        <w:t xml:space="preserve">осуществление геологического изучения недр, разведка и добыча полезных ископаемых;</w:t>
      </w:r>
    </w:p>
    <w:p>
      <w:pPr>
        <w:pStyle w:val="0"/>
        <w:spacing w:before="200" w:line-rule="auto"/>
        <w:ind w:firstLine="540"/>
        <w:jc w:val="both"/>
      </w:pPr>
      <w:r>
        <w:rPr>
          <w:sz w:val="20"/>
        </w:rPr>
        <w:t xml:space="preserve">строительство, реконструкция, эксплуатация линейных объектов;</w:t>
      </w:r>
    </w:p>
    <w:p>
      <w:pPr>
        <w:pStyle w:val="0"/>
        <w:spacing w:before="200" w:line-rule="auto"/>
        <w:ind w:firstLine="540"/>
        <w:jc w:val="both"/>
      </w:pPr>
      <w:r>
        <w:rPr>
          <w:sz w:val="20"/>
        </w:rPr>
        <w:t xml:space="preserve">создание и эксплуатация объектов лесоперерабатывающей инфраструктуры.</w:t>
      </w:r>
    </w:p>
    <w:p>
      <w:pPr>
        <w:pStyle w:val="0"/>
        <w:spacing w:before="200" w:line-rule="auto"/>
        <w:ind w:firstLine="540"/>
        <w:jc w:val="both"/>
      </w:pPr>
      <w:r>
        <w:rPr>
          <w:sz w:val="20"/>
        </w:rPr>
        <w:t xml:space="preserve">При выделении зон контроля необходимо исключать примыкание к следующим объектам:</w:t>
      </w:r>
    </w:p>
    <w:p>
      <w:pPr>
        <w:pStyle w:val="0"/>
        <w:spacing w:before="200" w:line-rule="auto"/>
        <w:ind w:firstLine="540"/>
        <w:jc w:val="both"/>
      </w:pPr>
      <w:r>
        <w:rPr>
          <w:sz w:val="20"/>
        </w:rPr>
        <w:t xml:space="preserve">земли обороны и безопасности, расположенные в пограничной зоне, установленной вдоль государственной границы Российской Федерации;</w:t>
      </w:r>
    </w:p>
    <w:p>
      <w:pPr>
        <w:pStyle w:val="0"/>
        <w:spacing w:before="200" w:line-rule="auto"/>
        <w:ind w:firstLine="540"/>
        <w:jc w:val="both"/>
      </w:pPr>
      <w:r>
        <w:rPr>
          <w:sz w:val="20"/>
        </w:rPr>
        <w:t xml:space="preserve">леса, уровень охраны которых предусматривает преимущественное применение наземных сил и средств пожаротушения;</w:t>
      </w:r>
    </w:p>
    <w:p>
      <w:pPr>
        <w:pStyle w:val="0"/>
        <w:spacing w:before="200" w:line-rule="auto"/>
        <w:ind w:firstLine="540"/>
        <w:jc w:val="both"/>
      </w:pPr>
      <w:r>
        <w:rPr>
          <w:sz w:val="20"/>
        </w:rPr>
        <w:t xml:space="preserve">населенные пункты и объекты экономики;</w:t>
      </w:r>
    </w:p>
    <w:p>
      <w:pPr>
        <w:pStyle w:val="0"/>
        <w:spacing w:before="200" w:line-rule="auto"/>
        <w:ind w:firstLine="540"/>
        <w:jc w:val="both"/>
      </w:pPr>
      <w:r>
        <w:rPr>
          <w:sz w:val="20"/>
        </w:rPr>
        <w:t xml:space="preserve">объекты транспортной инфраструктуры, по которым осуществляются регулярные пассажирские перевозки, объекты трубопроводного транспорта.</w:t>
      </w:r>
    </w:p>
    <w:p>
      <w:pPr>
        <w:pStyle w:val="0"/>
        <w:spacing w:before="200" w:line-rule="auto"/>
        <w:ind w:firstLine="540"/>
        <w:jc w:val="both"/>
      </w:pPr>
      <w:r>
        <w:rPr>
          <w:sz w:val="20"/>
        </w:rPr>
        <w:t xml:space="preserve">6. Зоны контроля утверждаются на один календарный год не позднее 20 февраля соответствующего года.</w:t>
      </w:r>
    </w:p>
    <w:p>
      <w:pPr>
        <w:pStyle w:val="0"/>
        <w:spacing w:before="200" w:line-rule="auto"/>
        <w:ind w:firstLine="540"/>
        <w:jc w:val="both"/>
      </w:pPr>
      <w:r>
        <w:rPr>
          <w:sz w:val="20"/>
        </w:rPr>
        <w:t xml:space="preserve">7. Районы применения наземных сил и средств пожаротушения устанавливаются в лесах, расположенных на территориях с развитой дорожной сетью, на которых прибытие наземных сил и средств пожаротушения возможно в течение 3 часов с момента обнаружения лесного пожара вне зависимости от погодных условий.</w:t>
      </w:r>
    </w:p>
    <w:p>
      <w:pPr>
        <w:pStyle w:val="0"/>
        <w:spacing w:before="200" w:line-rule="auto"/>
        <w:ind w:firstLine="540"/>
        <w:jc w:val="both"/>
      </w:pPr>
      <w:r>
        <w:rPr>
          <w:sz w:val="20"/>
        </w:rPr>
        <w:t xml:space="preserve">8. Границы территории, на которой осуществляются действия по тушению лесного пожара, устанавливаются на расстоянии не менее 500 метров от действующей (локализованной) кромки лесного пожара и (или) созданных (планируемых к созданию) минерализованных полос, опорных линий, от которых производится отжиг, рубежей, на которых производится (планируется) остановка распространения и локализация пожара.</w:t>
      </w:r>
    </w:p>
    <w:p>
      <w:pPr>
        <w:pStyle w:val="0"/>
        <w:jc w:val="both"/>
      </w:pPr>
      <w:r>
        <w:rPr>
          <w:sz w:val="20"/>
        </w:rPr>
      </w:r>
    </w:p>
    <w:p>
      <w:pPr>
        <w:pStyle w:val="2"/>
        <w:outlineLvl w:val="1"/>
        <w:jc w:val="center"/>
      </w:pPr>
      <w:r>
        <w:rPr>
          <w:sz w:val="20"/>
        </w:rPr>
        <w:t xml:space="preserve">II. Организация руководства работами по тушению</w:t>
      </w:r>
    </w:p>
    <w:p>
      <w:pPr>
        <w:pStyle w:val="2"/>
        <w:jc w:val="center"/>
      </w:pPr>
      <w:r>
        <w:rPr>
          <w:sz w:val="20"/>
        </w:rPr>
        <w:t xml:space="preserve">лесных пожаров</w:t>
      </w:r>
    </w:p>
    <w:p>
      <w:pPr>
        <w:pStyle w:val="0"/>
        <w:jc w:val="both"/>
      </w:pPr>
      <w:r>
        <w:rPr>
          <w:sz w:val="20"/>
        </w:rPr>
      </w:r>
    </w:p>
    <w:p>
      <w:pPr>
        <w:pStyle w:val="0"/>
        <w:ind w:firstLine="540"/>
        <w:jc w:val="both"/>
      </w:pPr>
      <w:r>
        <w:rPr>
          <w:sz w:val="20"/>
        </w:rPr>
        <w:t xml:space="preserve">9. Организация руководства работами по тушению лесных пожаров на территории лесничества осуществляется в соответствии с планом тушения лесного пожара &lt;2&gt; и сводным планом тушения лесных пожаров на территории субъекта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1"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sz w:val="20"/>
            <w:color w:val="0000ff"/>
          </w:rPr>
          <w:t xml:space="preserve">Постановление</w:t>
        </w:r>
      </w:hyperlink>
      <w:r>
        <w:rPr>
          <w:sz w:val="20"/>
        </w:rPr>
        <w:t xml:space="preserve"> Правительства Российской Федерации от 17 мая 2011 г. N 377 "Об утверждении Правил разработки и утверждения плана тушения лесных пожаров и его формы" (Собрание законодательства Российской Федерации, 2011, N 21, ст. 2972; 2016, N 16, ст. 2218).</w:t>
      </w:r>
    </w:p>
    <w:p>
      <w:pPr>
        <w:pStyle w:val="0"/>
        <w:spacing w:before="200" w:line-rule="auto"/>
        <w:ind w:firstLine="540"/>
        <w:jc w:val="both"/>
      </w:pPr>
      <w:r>
        <w:rPr>
          <w:sz w:val="20"/>
        </w:rPr>
        <w:t xml:space="preserve">&lt;3&gt; </w:t>
      </w:r>
      <w:hyperlink w:history="0" r:id="rId22" w:tooltip="Постановление Правительства РФ от 18.05.2011 N 378 (ред. от 28.02.2024) &quot;Об утверждении Правил разработки сводного плана тушения лесных пожаров на территории субъекта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18 мая 2011 г. N 378 "Об утверждении Правил разработки сводного плана тушения лесных пожаров на территории субъекта Российской Федерации" (Собрание законодательства Российской Федерации, 2011, N 21, ст. 2973; 2017, N 8, ст. 1231).</w:t>
      </w:r>
    </w:p>
    <w:p>
      <w:pPr>
        <w:pStyle w:val="0"/>
        <w:jc w:val="both"/>
      </w:pPr>
      <w:r>
        <w:rPr>
          <w:sz w:val="20"/>
        </w:rPr>
      </w:r>
    </w:p>
    <w:p>
      <w:pPr>
        <w:pStyle w:val="0"/>
        <w:ind w:firstLine="540"/>
        <w:jc w:val="both"/>
      </w:pPr>
      <w:r>
        <w:rPr>
          <w:sz w:val="20"/>
        </w:rPr>
        <w:t xml:space="preserve">10. Прекращение, приостановка работ по тушению лесного пожара в зоне контроля лесных пожаров при отсутствии угрозы населенным пунктам или объектам экономики в случаях, когда прогнозируемые затраты на тушение лесного пожара превышают прогнозируемый вред, который может быть им причинен, а также возобновление работ по тушению таких пожаров осуществляется на основании решения Комиссии по предупреждению и ликвидации чрезвычайных ситуаций и обеспечению пожарной безопасности органа исполнительной власти субъекта Российской Федерации &lt;4&gt; с одновременным направлением обосновывающих материалов в федеральный штаб по координации деятельности по тушению лесных пожаров. Федеральный штаб по координации деятельности по тушению лесных пожаров вправе давать указания о возобновлении тушения указанных лесных пожаров.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3"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0"/>
            <w:color w:val="0000ff"/>
          </w:rPr>
          <w:t xml:space="preserve">Пункт 7</w:t>
        </w:r>
      </w:hyperlink>
      <w:r>
        <w:rPr>
          <w:sz w:val="20"/>
        </w:rPr>
        <w:t xml:space="preserve">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 декабря 2003 г. N 794 (Собрание законодательства Российской Федерации, 2004, N 2, ст. 121; 2020, N 15, ст. 2275).</w:t>
      </w:r>
    </w:p>
    <w:p>
      <w:pPr>
        <w:pStyle w:val="0"/>
        <w:jc w:val="both"/>
      </w:pPr>
      <w:r>
        <w:rPr>
          <w:sz w:val="20"/>
        </w:rPr>
      </w:r>
    </w:p>
    <w:p>
      <w:pPr>
        <w:pStyle w:val="0"/>
        <w:ind w:firstLine="540"/>
        <w:jc w:val="both"/>
      </w:pPr>
      <w:r>
        <w:rPr>
          <w:sz w:val="20"/>
        </w:rPr>
        <w:t xml:space="preserve">В зоне контроля лесных пожаров, в отношении которой принято решение о прекращении, приостановке работ по тушению лесных пожаров, устанавливается наблюдение авиационными и (или) космическими средствами.</w:t>
      </w:r>
    </w:p>
    <w:p>
      <w:pPr>
        <w:pStyle w:val="0"/>
        <w:spacing w:before="200" w:line-rule="auto"/>
        <w:ind w:firstLine="540"/>
        <w:jc w:val="both"/>
      </w:pPr>
      <w:r>
        <w:rPr>
          <w:sz w:val="20"/>
        </w:rPr>
        <w:t xml:space="preserve">Данные об основных характеристиках таких пожаров (площади, форме, ежедневной динамике развития) подлежат обязательному учету (регистрации) с ежедневным отражением указанных данных в материалах официальной отчетности и донесениях, предоставляемых специализированной диспетчерской службой органа исполнительной власти субъекта Российской Федерации в специализированную диспетчерскую службу Федерального агентства лесного хозяйства.</w:t>
      </w:r>
    </w:p>
    <w:p>
      <w:pPr>
        <w:pStyle w:val="0"/>
        <w:spacing w:before="200" w:line-rule="auto"/>
        <w:ind w:firstLine="540"/>
        <w:jc w:val="both"/>
      </w:pPr>
      <w:r>
        <w:rPr>
          <w:sz w:val="20"/>
        </w:rPr>
        <w:t xml:space="preserve">11. В случае распространения действующего лесного пожара в зоне контроля в пределах 5-километровой зоны вокруг населенного пункта и объекта экономики, в отношении которого Комиссией по предупреждению и ликвидации чрезвычайных ситуаций и обеспечению пожарной безопасности субъекта Российской Федерации принято решение о прекращении (приостановке) работ по его тушению, решение о возобновлении работ по тушению данного лесного пожара принимает указанная комиссия.</w:t>
      </w:r>
    </w:p>
    <w:p>
      <w:pPr>
        <w:pStyle w:val="0"/>
        <w:spacing w:before="200" w:line-rule="auto"/>
        <w:ind w:firstLine="540"/>
        <w:jc w:val="both"/>
      </w:pPr>
      <w:r>
        <w:rPr>
          <w:sz w:val="20"/>
        </w:rPr>
        <w:t xml:space="preserve">12. При действии на территории лесничества нескольких лесных пожаров, когда для их тушения достаточно имеющихся сил и средств пожаротушения лесопожарных формирований и привлеченных лесопожарных формирований, организацию тушения лесных пожаров на территории лесничества осуществляет оперативный штаб лесничества (далее - Оперативный штаб).</w:t>
      </w:r>
    </w:p>
    <w:p>
      <w:pPr>
        <w:pStyle w:val="0"/>
        <w:spacing w:before="200" w:line-rule="auto"/>
        <w:ind w:firstLine="540"/>
        <w:jc w:val="both"/>
      </w:pPr>
      <w:r>
        <w:rPr>
          <w:sz w:val="20"/>
        </w:rPr>
        <w:t xml:space="preserve">Оперативный штаб создается решением руководителя органа исполнительной власти субъекта Российской Федерации, уполномоченного в области лесных отношений, ежегодно до начала пожароопасного сезона и действует до его окончания.</w:t>
      </w:r>
    </w:p>
    <w:p>
      <w:pPr>
        <w:pStyle w:val="0"/>
        <w:spacing w:before="200" w:line-rule="auto"/>
        <w:ind w:firstLine="540"/>
        <w:jc w:val="both"/>
      </w:pPr>
      <w:r>
        <w:rPr>
          <w:sz w:val="20"/>
        </w:rPr>
        <w:t xml:space="preserve">13. В состав Оперативного штаба входят должностные лица лесничества и организаций, участвующих в тушении лесных пожаров.</w:t>
      </w:r>
    </w:p>
    <w:p>
      <w:pPr>
        <w:pStyle w:val="0"/>
        <w:spacing w:before="200" w:line-rule="auto"/>
        <w:ind w:firstLine="540"/>
        <w:jc w:val="both"/>
      </w:pPr>
      <w:r>
        <w:rPr>
          <w:sz w:val="20"/>
        </w:rPr>
        <w:t xml:space="preserve">Руководит работой Оперативного штаба, действующего на территории лесничества, руководитель лесничества или руководитель лесопожарной организации.</w:t>
      </w:r>
    </w:p>
    <w:p>
      <w:pPr>
        <w:pStyle w:val="0"/>
        <w:spacing w:before="200" w:line-rule="auto"/>
        <w:ind w:firstLine="540"/>
        <w:jc w:val="both"/>
      </w:pPr>
      <w:r>
        <w:rPr>
          <w:sz w:val="20"/>
        </w:rPr>
        <w:t xml:space="preserve">14. Оперативный штаб:</w:t>
      </w:r>
    </w:p>
    <w:p>
      <w:pPr>
        <w:pStyle w:val="0"/>
        <w:spacing w:before="200" w:line-rule="auto"/>
        <w:ind w:firstLine="540"/>
        <w:jc w:val="both"/>
      </w:pPr>
      <w:r>
        <w:rPr>
          <w:sz w:val="20"/>
        </w:rPr>
        <w:t xml:space="preserve">а) осуществляет стратегическое планирование сил и средств пожаротушения, действий по ликвидации лесных пожаров;</w:t>
      </w:r>
    </w:p>
    <w:p>
      <w:pPr>
        <w:pStyle w:val="0"/>
        <w:spacing w:before="200" w:line-rule="auto"/>
        <w:ind w:firstLine="540"/>
        <w:jc w:val="both"/>
      </w:pPr>
      <w:r>
        <w:rPr>
          <w:sz w:val="20"/>
        </w:rPr>
        <w:t xml:space="preserve">б) взаимодействует с руководителями тушения лесных пожаров;</w:t>
      </w:r>
    </w:p>
    <w:p>
      <w:pPr>
        <w:pStyle w:val="0"/>
        <w:spacing w:before="200" w:line-rule="auto"/>
        <w:ind w:firstLine="540"/>
        <w:jc w:val="both"/>
      </w:pPr>
      <w:r>
        <w:rPr>
          <w:sz w:val="20"/>
        </w:rPr>
        <w:t xml:space="preserve">в) организует межведомственное взаимодействие;</w:t>
      </w:r>
    </w:p>
    <w:p>
      <w:pPr>
        <w:pStyle w:val="0"/>
        <w:spacing w:before="200" w:line-rule="auto"/>
        <w:ind w:firstLine="540"/>
        <w:jc w:val="both"/>
      </w:pPr>
      <w:r>
        <w:rPr>
          <w:sz w:val="20"/>
        </w:rPr>
        <w:t xml:space="preserve">г) организует обеспечение работ по тушению лесных пожаров;</w:t>
      </w:r>
    </w:p>
    <w:p>
      <w:pPr>
        <w:pStyle w:val="0"/>
        <w:spacing w:before="200" w:line-rule="auto"/>
        <w:ind w:firstLine="540"/>
        <w:jc w:val="both"/>
      </w:pPr>
      <w:r>
        <w:rPr>
          <w:sz w:val="20"/>
        </w:rPr>
        <w:t xml:space="preserve">д) осуществляет иные полномочия, предусмотренные настоящими Правилами.</w:t>
      </w:r>
    </w:p>
    <w:p>
      <w:pPr>
        <w:pStyle w:val="0"/>
        <w:spacing w:before="200" w:line-rule="auto"/>
        <w:ind w:firstLine="540"/>
        <w:jc w:val="both"/>
      </w:pPr>
      <w:r>
        <w:rPr>
          <w:sz w:val="20"/>
        </w:rPr>
        <w:t xml:space="preserve">15. В случае привлечения к тушению лесных пожаров населения и (или) работников организаций в соответствии с планами тушения лесных пожаров руководство работой указанных лиц осуществляют уполномоченные лица из числа работников подразделений лесопожарных формирований или работников лесничества, имеющих навыки в тушении лесных пожаров.</w:t>
      </w:r>
    </w:p>
    <w:bookmarkStart w:id="107" w:name="P107"/>
    <w:bookmarkEnd w:id="107"/>
    <w:p>
      <w:pPr>
        <w:pStyle w:val="0"/>
        <w:spacing w:before="200" w:line-rule="auto"/>
        <w:ind w:firstLine="540"/>
        <w:jc w:val="both"/>
      </w:pPr>
      <w:r>
        <w:rPr>
          <w:sz w:val="20"/>
        </w:rPr>
        <w:t xml:space="preserve">16. Подразделения пожарной охраны, поисково-спасательные и аварийно-спасательные формирования, спасательные воинские формирования МЧС России, формирования Вооруженных Сил Российской Федерации, направленные на тушение лесных пожаров, сохраняют свою организационную структуру.</w:t>
      </w:r>
    </w:p>
    <w:p>
      <w:pPr>
        <w:pStyle w:val="0"/>
        <w:spacing w:before="200" w:line-rule="auto"/>
        <w:ind w:firstLine="540"/>
        <w:jc w:val="both"/>
      </w:pPr>
      <w:r>
        <w:rPr>
          <w:sz w:val="20"/>
        </w:rPr>
        <w:t xml:space="preserve">17. К каждому из подразделений (формирований), указанных в </w:t>
      </w:r>
      <w:hyperlink w:history="0" w:anchor="P107" w:tooltip="16. Подразделения пожарной охраны, поисково-спасательные и аварийно-спасательные формирования, спасательные воинские формирования МЧС России, формирования Вооруженных Сил Российской Федерации, направленные на тушение лесных пожаров, сохраняют свою организационную структуру.">
        <w:r>
          <w:rPr>
            <w:sz w:val="20"/>
            <w:color w:val="0000ff"/>
          </w:rPr>
          <w:t xml:space="preserve">пункте 16</w:t>
        </w:r>
      </w:hyperlink>
      <w:r>
        <w:rPr>
          <w:sz w:val="20"/>
        </w:rPr>
        <w:t xml:space="preserve"> настоящих Правил, в целях координации деятельности указанных подразделений (формирований) назначается ответственный руководитель из числа работников подразделений лесопожарных формирований или работников лесничества.</w:t>
      </w:r>
    </w:p>
    <w:p>
      <w:pPr>
        <w:pStyle w:val="0"/>
        <w:spacing w:before="200" w:line-rule="auto"/>
        <w:ind w:firstLine="540"/>
        <w:jc w:val="both"/>
      </w:pPr>
      <w:r>
        <w:rPr>
          <w:sz w:val="20"/>
        </w:rPr>
        <w:t xml:space="preserve">18. Непосредственное руководство тушением лесного пожара осуществляется руководителем тушения лесного пожара из числа специально подготовленных работников, который управляет на принципах единоначалия подразделениями лесопожарных формирований, а также привлекаемыми силами и средствами пожаротушения, участвующими в тушении лесного пожара.</w:t>
      </w:r>
    </w:p>
    <w:p>
      <w:pPr>
        <w:pStyle w:val="0"/>
        <w:spacing w:before="200" w:line-rule="auto"/>
        <w:ind w:firstLine="540"/>
        <w:jc w:val="both"/>
      </w:pPr>
      <w:r>
        <w:rPr>
          <w:sz w:val="20"/>
        </w:rPr>
        <w:t xml:space="preserve">19. Руководителем тушения лесного пожара является прибывшее первым на пожар старшее должностное лицо подразделения лесопожарной организации (лесопожарного формирования).</w:t>
      </w:r>
    </w:p>
    <w:p>
      <w:pPr>
        <w:pStyle w:val="0"/>
        <w:spacing w:before="200" w:line-rule="auto"/>
        <w:ind w:firstLine="540"/>
        <w:jc w:val="both"/>
      </w:pPr>
      <w:r>
        <w:rPr>
          <w:sz w:val="20"/>
        </w:rPr>
        <w:t xml:space="preserve">20. В случае, когда руководитель тушения крупного лесного пожара (в районе применения наземных сил и средств пожаротушения, площадью 25 гектар и более, в районе применения авиационных сил и средств пожаротушения и зоне контроля лесных пожаров - площадью 200 гектар и более) отсутствует (не определен), его назначение производится распоряжением старшего по должности руководителя подразделения лесопожарной организации или решением Оперативного штаба.</w:t>
      </w:r>
    </w:p>
    <w:p>
      <w:pPr>
        <w:pStyle w:val="0"/>
        <w:spacing w:before="200" w:line-rule="auto"/>
        <w:ind w:firstLine="540"/>
        <w:jc w:val="both"/>
      </w:pPr>
      <w:r>
        <w:rPr>
          <w:sz w:val="20"/>
        </w:rPr>
        <w:t xml:space="preserve">21. В случае введения чрезвычайной ситуации в лесах, возникшей вследствие лесных пожаров, назначение лица руководителем тушения крупного лесного пожара производится решением Оперативного штаба или комиссии по предупреждению и ликвидации чрезвычайных ситуаций и обеспечению пожарной безопасности по согласованию с руководством организации, в которой работает указанное лицо.</w:t>
      </w:r>
    </w:p>
    <w:p>
      <w:pPr>
        <w:pStyle w:val="0"/>
        <w:spacing w:before="200" w:line-rule="auto"/>
        <w:ind w:firstLine="540"/>
        <w:jc w:val="both"/>
      </w:pPr>
      <w:r>
        <w:rPr>
          <w:sz w:val="20"/>
        </w:rPr>
        <w:t xml:space="preserve">22. В случае, когда руководитель тушения лесного пожара ранее был назначен распоряжением руководителя Оперативного штаба или комиссии по предупреждению и ликвидации чрезвычайных ситуаций и обеспечению пожарной безопасности, назначение иного лица в качестве руководителя тушения лесного пожара, отстранение действующего руководителя тушения лесного пожара от исполнения обязанностей производятся на основании распоряжений этих органов.</w:t>
      </w:r>
    </w:p>
    <w:p>
      <w:pPr>
        <w:pStyle w:val="0"/>
        <w:spacing w:before="200" w:line-rule="auto"/>
        <w:ind w:firstLine="540"/>
        <w:jc w:val="both"/>
      </w:pPr>
      <w:r>
        <w:rPr>
          <w:sz w:val="20"/>
        </w:rPr>
        <w:t xml:space="preserve">23. В период действия особых противопожарных режимов Оперативный штаб взаимодействует с соответствующей Комиссией по предупреждению и ликвидации чрезвычайных ситуаций и обеспечению пожарной безопасности.</w:t>
      </w:r>
    </w:p>
    <w:p>
      <w:pPr>
        <w:pStyle w:val="0"/>
        <w:spacing w:before="200" w:line-rule="auto"/>
        <w:ind w:firstLine="540"/>
        <w:jc w:val="both"/>
      </w:pPr>
      <w:r>
        <w:rPr>
          <w:sz w:val="20"/>
        </w:rPr>
        <w:t xml:space="preserve">В случае введения чрезвычайной ситуации в лесах, возникшей вследствие лесных пожаров, координацию деятельности Оперативного штаба осуществляет комиссия по предупреждению и ликвидации чрезвычайных ситуаций и обеспечению пожарной безопасности в соответствии с </w:t>
      </w:r>
      <w:hyperlink w:history="0" r:id="rId24"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0"/>
            <w:color w:val="0000ff"/>
          </w:rPr>
          <w:t xml:space="preserve">пунктом 9</w:t>
        </w:r>
      </w:hyperlink>
      <w:r>
        <w:rPr>
          <w:sz w:val="20"/>
        </w:rPr>
        <w:t xml:space="preserve"> Правил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утвержденных постановлением Правительства Российской Федерации от 17 мая 2011 г. N 376 (Собрание законодательства Российской Федерации, 2011, N 21, ст. 2971; 2022, N 28, ст. 5128).</w:t>
      </w:r>
    </w:p>
    <w:p>
      <w:pPr>
        <w:pStyle w:val="0"/>
        <w:spacing w:before="200" w:line-rule="auto"/>
        <w:ind w:firstLine="540"/>
        <w:jc w:val="both"/>
      </w:pPr>
      <w:r>
        <w:rPr>
          <w:sz w:val="20"/>
        </w:rPr>
        <w:t xml:space="preserve">24. В районах применения наземных сил и средств пожаротушения приоритет в руководстве тушением лесного пожара предоставляется старшим по должности работникам наземных подразделений лесопожарных формирований.</w:t>
      </w:r>
    </w:p>
    <w:p>
      <w:pPr>
        <w:pStyle w:val="0"/>
        <w:spacing w:before="200" w:line-rule="auto"/>
        <w:ind w:firstLine="540"/>
        <w:jc w:val="both"/>
      </w:pPr>
      <w:r>
        <w:rPr>
          <w:sz w:val="20"/>
        </w:rPr>
        <w:t xml:space="preserve">25. В районах применения авиационных сил и средств пожаротушения приоритет в руководстве тушением лесного пожара предоставляется старшим по должности работникам из числа находящихся на пожарах групп (команд) парашютистов-пожарных и десантников-пожарных, а также летчиков-наблюдателей.</w:t>
      </w:r>
    </w:p>
    <w:p>
      <w:pPr>
        <w:pStyle w:val="0"/>
        <w:spacing w:before="200" w:line-rule="auto"/>
        <w:ind w:firstLine="540"/>
        <w:jc w:val="both"/>
      </w:pPr>
      <w:r>
        <w:rPr>
          <w:sz w:val="20"/>
        </w:rPr>
        <w:t xml:space="preserve">26. Руководитель тушения лесного пожара:</w:t>
      </w:r>
    </w:p>
    <w:p>
      <w:pPr>
        <w:pStyle w:val="0"/>
        <w:spacing w:before="200" w:line-rule="auto"/>
        <w:ind w:firstLine="540"/>
        <w:jc w:val="both"/>
      </w:pPr>
      <w:r>
        <w:rPr>
          <w:sz w:val="20"/>
        </w:rPr>
        <w:t xml:space="preserve">а) осуществляет общее руководство имеющимися силами и средствами пожаротушения с целью ликвидации лесного пожара;</w:t>
      </w:r>
    </w:p>
    <w:p>
      <w:pPr>
        <w:pStyle w:val="0"/>
        <w:spacing w:before="200" w:line-rule="auto"/>
        <w:ind w:firstLine="540"/>
        <w:jc w:val="both"/>
      </w:pPr>
      <w:r>
        <w:rPr>
          <w:sz w:val="20"/>
        </w:rPr>
        <w:t xml:space="preserve">б) отвечает за выполнение поставленных задач, разработку тактики и стратегии тушения лесного пожара, безопасность работников, участвующих в тушении пожара;</w:t>
      </w:r>
    </w:p>
    <w:p>
      <w:pPr>
        <w:pStyle w:val="0"/>
        <w:spacing w:before="200" w:line-rule="auto"/>
        <w:ind w:firstLine="540"/>
        <w:jc w:val="both"/>
      </w:pPr>
      <w:r>
        <w:rPr>
          <w:sz w:val="20"/>
        </w:rPr>
        <w:t xml:space="preserve">в) устанавливает границы территории, на которой осуществляются действия по тушению лесного пожара, порядок и особенности указанных действий, а также принимает решения о спасении людей и имущества при лесном пожаре, организует поиск и эвакуацию лиц, пострадавших от пожара;</w:t>
      </w:r>
    </w:p>
    <w:p>
      <w:pPr>
        <w:pStyle w:val="0"/>
        <w:spacing w:before="200" w:line-rule="auto"/>
        <w:ind w:firstLine="540"/>
        <w:jc w:val="both"/>
      </w:pPr>
      <w:r>
        <w:rPr>
          <w:sz w:val="20"/>
        </w:rPr>
        <w:t xml:space="preserve">г) взаимодействует с Оперативным штабом;</w:t>
      </w:r>
    </w:p>
    <w:bookmarkStart w:id="123" w:name="P123"/>
    <w:bookmarkEnd w:id="123"/>
    <w:p>
      <w:pPr>
        <w:pStyle w:val="0"/>
        <w:spacing w:before="200" w:line-rule="auto"/>
        <w:ind w:firstLine="540"/>
        <w:jc w:val="both"/>
      </w:pPr>
      <w:r>
        <w:rPr>
          <w:sz w:val="20"/>
        </w:rPr>
        <w:t xml:space="preserve">д) при необходимости назначает своего заместителя из числа наиболее опытных, специально подготовленных работников, участвующих в тушении лесного пожара;</w:t>
      </w:r>
    </w:p>
    <w:p>
      <w:pPr>
        <w:pStyle w:val="0"/>
        <w:spacing w:before="200" w:line-rule="auto"/>
        <w:ind w:firstLine="540"/>
        <w:jc w:val="both"/>
      </w:pPr>
      <w:r>
        <w:rPr>
          <w:sz w:val="20"/>
        </w:rPr>
        <w:t xml:space="preserve">е) не оставляет место лесного пожара до тех пор, пока пожар не будет ликвидирован;</w:t>
      </w:r>
    </w:p>
    <w:bookmarkStart w:id="125" w:name="P125"/>
    <w:bookmarkEnd w:id="125"/>
    <w:p>
      <w:pPr>
        <w:pStyle w:val="0"/>
        <w:spacing w:before="200" w:line-rule="auto"/>
        <w:ind w:firstLine="540"/>
        <w:jc w:val="both"/>
      </w:pPr>
      <w:r>
        <w:rPr>
          <w:sz w:val="20"/>
        </w:rPr>
        <w:t xml:space="preserve">ж) в случаях, когда распространение фронта верхового пожара происходит по направлению к населенному пункту или объекту инфраструктуры в радиусе менее пяти километров от него, при возникновении неблагоприятных изменений погодных условий (в том числе при получении неблагоприятного метеорологического прогноза), когда низовой сильный пожар или верховой пожар распространяется в радиусе менее пяти километров от населенного пункта или объекта инфраструктуры, при возникновении опасных обстоятельств (наличие угрозы взрывов взрывчатых материалов на взрывопожароопасных объектах, отравления токсическими веществами, нарушения экологической и санитарной безопасности территорий, усиления радиоактивного загрязнения территорий вследствие воздействия открытого огня на лесные участки), когда пожар действует в радиусе менее пяти километров от населенного пункта или объекта инфраструктуры, руководитель тушения лесного пожара имеет право объявить наличие угрозы населенному пункту или объекту инфраструктуры и сообщить об этом в специализированную диспетчерскую службу;</w:t>
      </w:r>
    </w:p>
    <w:p>
      <w:pPr>
        <w:pStyle w:val="0"/>
        <w:spacing w:before="200" w:line-rule="auto"/>
        <w:ind w:firstLine="540"/>
        <w:jc w:val="both"/>
      </w:pPr>
      <w:r>
        <w:rPr>
          <w:sz w:val="20"/>
        </w:rPr>
        <w:t xml:space="preserve">з) в случаях наличия угрозы, указанной в </w:t>
      </w:r>
      <w:hyperlink w:history="0" w:anchor="P125" w:tooltip="ж) в случаях, когда распространение фронта верхового пожара происходит по направлению к населенному пункту или объекту инфраструктуры в радиусе менее пяти километров от него, при возникновении неблагоприятных изменений погодных условий (в том числе при получении неблагоприятного метеорологического прогноза), когда низовой сильный пожар или верховой пожар распространяется в радиусе менее пяти километров от населенного пункта или объекта инфраструктуры, при возникновении опасных обстоятельств (наличие угро...">
        <w:r>
          <w:rPr>
            <w:sz w:val="20"/>
            <w:color w:val="0000ff"/>
          </w:rPr>
          <w:t xml:space="preserve">подпункте "ж" пункта 26</w:t>
        </w:r>
      </w:hyperlink>
      <w:r>
        <w:rPr>
          <w:sz w:val="20"/>
        </w:rPr>
        <w:t xml:space="preserve"> настоящих Правил, при необходимости направляет предложения о проведении эвакуационных мероприятий в соответствующую комиссию по предупреждению и ликвидации чрезвычайных ситуаций и обеспечению пожарной безопасности в Оперативный штаб, в том числе через специализированную диспетчерскую службу.</w:t>
      </w:r>
    </w:p>
    <w:p>
      <w:pPr>
        <w:pStyle w:val="0"/>
        <w:spacing w:before="200" w:line-rule="auto"/>
        <w:ind w:firstLine="540"/>
        <w:jc w:val="both"/>
      </w:pPr>
      <w:r>
        <w:rPr>
          <w:sz w:val="20"/>
        </w:rPr>
        <w:t xml:space="preserve">27. Руководитель тушения лесного пожара не имеет права возложить исполнение своих обязанностей на иных лиц, за исключением случая, предусмотренного </w:t>
      </w:r>
      <w:hyperlink w:history="0" w:anchor="P123" w:tooltip="д) при необходимости назначает своего заместителя из числа наиболее опытных, специально подготовленных работников, участвующих в тушении лесного пожара;">
        <w:r>
          <w:rPr>
            <w:sz w:val="20"/>
            <w:color w:val="0000ff"/>
          </w:rPr>
          <w:t xml:space="preserve">подпунктом "д" пункта 26</w:t>
        </w:r>
      </w:hyperlink>
      <w:r>
        <w:rPr>
          <w:sz w:val="20"/>
        </w:rPr>
        <w:t xml:space="preserve"> настоящих Правил.</w:t>
      </w:r>
    </w:p>
    <w:p>
      <w:pPr>
        <w:pStyle w:val="0"/>
        <w:spacing w:before="200" w:line-rule="auto"/>
        <w:ind w:firstLine="540"/>
        <w:jc w:val="both"/>
      </w:pPr>
      <w:r>
        <w:rPr>
          <w:sz w:val="20"/>
        </w:rPr>
        <w:t xml:space="preserve">28. Указания руководителя тушения лесного пожара обязательны для исполнения всеми должностными лицами и гражданами на территории, где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пожара.</w:t>
      </w:r>
    </w:p>
    <w:p>
      <w:pPr>
        <w:pStyle w:val="0"/>
        <w:spacing w:before="200" w:line-rule="auto"/>
        <w:ind w:firstLine="540"/>
        <w:jc w:val="both"/>
      </w:pPr>
      <w:r>
        <w:rPr>
          <w:sz w:val="20"/>
        </w:rPr>
        <w:t xml:space="preserve">В случае обнаружения летчиком-наблюдателем с борта воздушного судна угрозы жизни и здоровью работников, участвующих в тушении лесного пожара, указания летчика-наблюдателя по выводу сил и средств пожаротушения из опасных зон пожара выполняются руководителем тушения лесного пожара и руководителями подразделений лесопожарных формирований незамедлительно.</w:t>
      </w:r>
    </w:p>
    <w:p>
      <w:pPr>
        <w:pStyle w:val="0"/>
        <w:spacing w:before="200" w:line-rule="auto"/>
        <w:ind w:firstLine="540"/>
        <w:jc w:val="both"/>
      </w:pPr>
      <w:r>
        <w:rPr>
          <w:sz w:val="20"/>
        </w:rPr>
        <w:t xml:space="preserve">29. Если прибывшее на пожар вышестоящее должностное лицо лесопожарной организации или уполномоченного органа исполнительной власти субъекта Российской Федерации в области лесных отношений принимает руководство тушением лесного пожара на себя, ответственность за принимаемые решения по тушению пожара возлагается на данное должностное лицо лесопожарной организации или уполномоченного органа исполнительной власти субъекта Российской Федерации в области лесных отношений. Момент оглашения вышестоящим должностным лицом лесопожарного формирования или уполномоченного органа исполнительной власти субъекта Российской Федерации в области лесных отношений своего первого устного распоряжения является моментом принятия на себя руководства тушением лесного пожара. При принятии на себя руководства данное должностное лицо обязано незамедлительно сообщить в специализированную диспетчерскую службу об этом.</w:t>
      </w:r>
    </w:p>
    <w:p>
      <w:pPr>
        <w:pStyle w:val="0"/>
        <w:spacing w:before="200" w:line-rule="auto"/>
        <w:ind w:firstLine="540"/>
        <w:jc w:val="both"/>
      </w:pPr>
      <w:r>
        <w:rPr>
          <w:sz w:val="20"/>
        </w:rPr>
        <w:t xml:space="preserve">30. Руководитель тушения лесного пожара, руководители лесопожарных формирований, руководители подразделений лесопожарных формирований в целях безопасности осуществления работ по тушению лесного пожара обязаны:</w:t>
      </w:r>
    </w:p>
    <w:p>
      <w:pPr>
        <w:pStyle w:val="0"/>
        <w:spacing w:before="200" w:line-rule="auto"/>
        <w:ind w:firstLine="540"/>
        <w:jc w:val="both"/>
      </w:pPr>
      <w:r>
        <w:rPr>
          <w:sz w:val="20"/>
        </w:rPr>
        <w:t xml:space="preserve">а) обеспечить выполнение работниками соблюдения технологий проведения работ по тушению лесных пожаров, правил по охране труда и техники безопасности;</w:t>
      </w:r>
    </w:p>
    <w:p>
      <w:pPr>
        <w:pStyle w:val="0"/>
        <w:spacing w:before="200" w:line-rule="auto"/>
        <w:ind w:firstLine="540"/>
        <w:jc w:val="both"/>
      </w:pPr>
      <w:r>
        <w:rPr>
          <w:sz w:val="20"/>
        </w:rPr>
        <w:t xml:space="preserve">б) обеспечить организацию в течение всего периода тушения лесного пожара постоянной связи между подразделениями лесопожарных формирований, участвующими в тушении пожаров;</w:t>
      </w:r>
    </w:p>
    <w:p>
      <w:pPr>
        <w:pStyle w:val="0"/>
        <w:spacing w:before="200" w:line-rule="auto"/>
        <w:ind w:firstLine="540"/>
        <w:jc w:val="both"/>
      </w:pPr>
      <w:r>
        <w:rPr>
          <w:sz w:val="20"/>
        </w:rPr>
        <w:t xml:space="preserve">в) обеспечить соблюдение принципов единоначалия и дисциплины работниками, участвующими в тушении пожара;</w:t>
      </w:r>
    </w:p>
    <w:p>
      <w:pPr>
        <w:pStyle w:val="0"/>
        <w:spacing w:before="200" w:line-rule="auto"/>
        <w:ind w:firstLine="540"/>
        <w:jc w:val="both"/>
      </w:pPr>
      <w:r>
        <w:rPr>
          <w:sz w:val="20"/>
        </w:rPr>
        <w:t xml:space="preserve">г) организовать обеспечение работников, участвующих в тушении пожара, специальной одеждой из огнестойкой ткани (предназначенной для выполнения работ по тушению лесных пожаров) и средствами индивидуальной защиты, в том числе с учетом особенностей местных условий в районе выполнения работ;</w:t>
      </w:r>
    </w:p>
    <w:p>
      <w:pPr>
        <w:pStyle w:val="0"/>
        <w:spacing w:before="200" w:line-rule="auto"/>
        <w:ind w:firstLine="540"/>
        <w:jc w:val="both"/>
      </w:pPr>
      <w:r>
        <w:rPr>
          <w:sz w:val="20"/>
        </w:rPr>
        <w:t xml:space="preserve">д) обеспечить использование исправного оборудования, механизмов и инструментов при выполнении работ по тушению пожара;</w:t>
      </w:r>
    </w:p>
    <w:p>
      <w:pPr>
        <w:pStyle w:val="0"/>
        <w:spacing w:before="200" w:line-rule="auto"/>
        <w:ind w:firstLine="540"/>
        <w:jc w:val="both"/>
      </w:pPr>
      <w:r>
        <w:rPr>
          <w:sz w:val="20"/>
        </w:rPr>
        <w:t xml:space="preserve">е) обеспечить организацию оптимального режима работы и отдыха работников, участвующих в тушении лесного пожара;</w:t>
      </w:r>
    </w:p>
    <w:p>
      <w:pPr>
        <w:pStyle w:val="0"/>
        <w:spacing w:before="200" w:line-rule="auto"/>
        <w:ind w:firstLine="540"/>
        <w:jc w:val="both"/>
      </w:pPr>
      <w:r>
        <w:rPr>
          <w:sz w:val="20"/>
        </w:rPr>
        <w:t xml:space="preserve">ж) обеспечить организацию регулярного питания (из расчета дневной нормы в объеме не менее 4500 ккал на человека) и снабжения питьевой водой (из расчета дневной нормы не менее 6 литров питьевой воды на человека) лиц, выполняющих работы по тушению лесного пожара;</w:t>
      </w:r>
    </w:p>
    <w:p>
      <w:pPr>
        <w:pStyle w:val="0"/>
        <w:spacing w:before="200" w:line-rule="auto"/>
        <w:ind w:firstLine="540"/>
        <w:jc w:val="both"/>
      </w:pPr>
      <w:r>
        <w:rPr>
          <w:sz w:val="20"/>
        </w:rPr>
        <w:t xml:space="preserve">з) создать условия для оказания своевременной медицинской помощи пострадавшим при тушении лесного пожара работникам, проведения своевременных мероприятий по их доставке в медицинскую организацию.</w:t>
      </w:r>
    </w:p>
    <w:p>
      <w:pPr>
        <w:pStyle w:val="0"/>
        <w:spacing w:before="200" w:line-rule="auto"/>
        <w:ind w:firstLine="540"/>
        <w:jc w:val="both"/>
      </w:pPr>
      <w:r>
        <w:rPr>
          <w:sz w:val="20"/>
        </w:rPr>
        <w:t xml:space="preserve">31. При тушении крупного лесного пожара руководитель тушения лесного пожара вправе организовать штаб по тушению лесного пожара. Решение о целесообразности организации штаба по тушению лесного пожара, место его расположения, состав и количество лиц, задействованных в работе штаба по тушению пожара, определяются руководителем тушения лесного пожара.</w:t>
      </w:r>
    </w:p>
    <w:p>
      <w:pPr>
        <w:pStyle w:val="0"/>
        <w:spacing w:before="200" w:line-rule="auto"/>
        <w:ind w:firstLine="540"/>
        <w:jc w:val="both"/>
      </w:pPr>
      <w:r>
        <w:rPr>
          <w:sz w:val="20"/>
        </w:rPr>
        <w:t xml:space="preserve">32. Руководитель тушения лесного пожара назначает начальника штаба.</w:t>
      </w:r>
    </w:p>
    <w:p>
      <w:pPr>
        <w:pStyle w:val="0"/>
        <w:spacing w:before="200" w:line-rule="auto"/>
        <w:ind w:firstLine="540"/>
        <w:jc w:val="both"/>
      </w:pPr>
      <w:r>
        <w:rPr>
          <w:sz w:val="20"/>
        </w:rPr>
        <w:t xml:space="preserve">33. Основные задачи штаба по тушению лесного пожара:</w:t>
      </w:r>
    </w:p>
    <w:p>
      <w:pPr>
        <w:pStyle w:val="0"/>
        <w:spacing w:before="200" w:line-rule="auto"/>
        <w:ind w:firstLine="540"/>
        <w:jc w:val="both"/>
      </w:pPr>
      <w:r>
        <w:rPr>
          <w:sz w:val="20"/>
        </w:rPr>
        <w:t xml:space="preserve">а) сбор и обобщение информации о состоянии лесного пожара и ходе его тушения;</w:t>
      </w:r>
    </w:p>
    <w:p>
      <w:pPr>
        <w:pStyle w:val="0"/>
        <w:spacing w:before="200" w:line-rule="auto"/>
        <w:ind w:firstLine="540"/>
        <w:jc w:val="both"/>
      </w:pPr>
      <w:r>
        <w:rPr>
          <w:sz w:val="20"/>
        </w:rPr>
        <w:t xml:space="preserve">б) планирование действий по тушению лесного пожара;</w:t>
      </w:r>
    </w:p>
    <w:p>
      <w:pPr>
        <w:pStyle w:val="0"/>
        <w:spacing w:before="200" w:line-rule="auto"/>
        <w:ind w:firstLine="540"/>
        <w:jc w:val="both"/>
      </w:pPr>
      <w:r>
        <w:rPr>
          <w:sz w:val="20"/>
        </w:rPr>
        <w:t xml:space="preserve">в) обеспечение руководства подразделениями лесопожарных формирований, их взаимодействия и координации работ по тушению пожара;</w:t>
      </w:r>
    </w:p>
    <w:p>
      <w:pPr>
        <w:pStyle w:val="0"/>
        <w:spacing w:before="200" w:line-rule="auto"/>
        <w:ind w:firstLine="540"/>
        <w:jc w:val="both"/>
      </w:pPr>
      <w:r>
        <w:rPr>
          <w:sz w:val="20"/>
        </w:rPr>
        <w:t xml:space="preserve">г) обеспечение связи между подразделениями лесопожарных формирований;</w:t>
      </w:r>
    </w:p>
    <w:p>
      <w:pPr>
        <w:pStyle w:val="0"/>
        <w:spacing w:before="200" w:line-rule="auto"/>
        <w:ind w:firstLine="540"/>
        <w:jc w:val="both"/>
      </w:pPr>
      <w:r>
        <w:rPr>
          <w:sz w:val="20"/>
        </w:rPr>
        <w:t xml:space="preserve">д) решение вопросов обеспечения работ по тушению лесного пожара;</w:t>
      </w:r>
    </w:p>
    <w:p>
      <w:pPr>
        <w:pStyle w:val="0"/>
        <w:spacing w:before="200" w:line-rule="auto"/>
        <w:ind w:firstLine="540"/>
        <w:jc w:val="both"/>
      </w:pPr>
      <w:r>
        <w:rPr>
          <w:sz w:val="20"/>
        </w:rPr>
        <w:t xml:space="preserve">е) взаимодействие с Оперативным штабом;</w:t>
      </w:r>
    </w:p>
    <w:p>
      <w:pPr>
        <w:pStyle w:val="0"/>
        <w:spacing w:before="200" w:line-rule="auto"/>
        <w:ind w:firstLine="540"/>
        <w:jc w:val="both"/>
      </w:pPr>
      <w:r>
        <w:rPr>
          <w:sz w:val="20"/>
        </w:rPr>
        <w:t xml:space="preserve">ж) учет сил, средств и ресурсов пожаротушения.</w:t>
      </w:r>
    </w:p>
    <w:p>
      <w:pPr>
        <w:pStyle w:val="0"/>
        <w:jc w:val="both"/>
      </w:pPr>
      <w:r>
        <w:rPr>
          <w:sz w:val="20"/>
        </w:rPr>
      </w:r>
    </w:p>
    <w:p>
      <w:pPr>
        <w:pStyle w:val="2"/>
        <w:outlineLvl w:val="1"/>
        <w:jc w:val="center"/>
      </w:pPr>
      <w:r>
        <w:rPr>
          <w:sz w:val="20"/>
        </w:rPr>
        <w:t xml:space="preserve">III. Тушение лесных пожаров</w:t>
      </w:r>
    </w:p>
    <w:p>
      <w:pPr>
        <w:pStyle w:val="0"/>
        <w:jc w:val="both"/>
      </w:pPr>
      <w:r>
        <w:rPr>
          <w:sz w:val="20"/>
        </w:rPr>
      </w:r>
    </w:p>
    <w:p>
      <w:pPr>
        <w:pStyle w:val="0"/>
        <w:ind w:firstLine="540"/>
        <w:jc w:val="both"/>
      </w:pPr>
      <w:r>
        <w:rPr>
          <w:sz w:val="20"/>
        </w:rPr>
        <w:t xml:space="preserve">34. Действия работников лесопожарных формирований по тушению лесного пожара начинаются с момента получения сообщения о пожаре и считаются законченными после возвращения сил и средств пожаротушения на места их постоянной дислокации.</w:t>
      </w:r>
    </w:p>
    <w:p>
      <w:pPr>
        <w:pStyle w:val="0"/>
        <w:spacing w:before="200" w:line-rule="auto"/>
        <w:ind w:firstLine="540"/>
        <w:jc w:val="both"/>
      </w:pPr>
      <w:r>
        <w:rPr>
          <w:sz w:val="20"/>
        </w:rPr>
        <w:t xml:space="preserve">35. В целях организации взаимодействия все подразделения лесопожарных формирований обеспечиваются средствами связи. Обязательным для подразделений лесопожарных формирований, участвующих в тушении лесного пожара, является их обеспечение радиосвязью ультракоротковолнового диапазона. Координация связи между подразделениями лесопожарных формирований осуществляется специализированными диспетчерскими службами.</w:t>
      </w:r>
    </w:p>
    <w:p>
      <w:pPr>
        <w:pStyle w:val="0"/>
        <w:spacing w:before="200" w:line-rule="auto"/>
        <w:ind w:firstLine="540"/>
        <w:jc w:val="both"/>
      </w:pPr>
      <w:r>
        <w:rPr>
          <w:sz w:val="20"/>
        </w:rPr>
        <w:t xml:space="preserve">36. Начальным действием по тушению лесного пожара является его обследование. Обследование пожара проводится руководителем тушения лесного пожара и работниками подразделений лесопожарных формирований по всей кромке пожара.</w:t>
      </w:r>
    </w:p>
    <w:p>
      <w:pPr>
        <w:pStyle w:val="0"/>
        <w:spacing w:before="200" w:line-rule="auto"/>
        <w:ind w:firstLine="540"/>
        <w:jc w:val="both"/>
      </w:pPr>
      <w:r>
        <w:rPr>
          <w:sz w:val="20"/>
        </w:rPr>
        <w:t xml:space="preserve">37. Обследование лесного пожара проводится с использованием наземных, авиационных (пилотируемых и (или) беспилотных воздушных судов) средств, беспилотных летательных аппаратов и (или) космических средств в целях установления:</w:t>
      </w:r>
    </w:p>
    <w:p>
      <w:pPr>
        <w:pStyle w:val="0"/>
        <w:spacing w:before="200" w:line-rule="auto"/>
        <w:ind w:firstLine="540"/>
        <w:jc w:val="both"/>
      </w:pPr>
      <w:r>
        <w:rPr>
          <w:sz w:val="20"/>
        </w:rPr>
        <w:t xml:space="preserve">а) вида и скорости распространения пожара, его контура и примерной площади;</w:t>
      </w:r>
    </w:p>
    <w:p>
      <w:pPr>
        <w:pStyle w:val="0"/>
        <w:spacing w:before="200" w:line-rule="auto"/>
        <w:ind w:firstLine="540"/>
        <w:jc w:val="both"/>
      </w:pPr>
      <w:r>
        <w:rPr>
          <w:sz w:val="20"/>
        </w:rPr>
        <w:t xml:space="preserve">б) основных типов (видов) горючих материалов;</w:t>
      </w:r>
    </w:p>
    <w:p>
      <w:pPr>
        <w:pStyle w:val="0"/>
        <w:spacing w:before="200" w:line-rule="auto"/>
        <w:ind w:firstLine="540"/>
        <w:jc w:val="both"/>
      </w:pPr>
      <w:r>
        <w:rPr>
          <w:sz w:val="20"/>
        </w:rPr>
        <w:t xml:space="preserve">в) тактических частей пожара (фронт, фланги и тыл);</w:t>
      </w:r>
    </w:p>
    <w:p>
      <w:pPr>
        <w:pStyle w:val="0"/>
        <w:spacing w:before="200" w:line-rule="auto"/>
        <w:ind w:firstLine="540"/>
        <w:jc w:val="both"/>
      </w:pPr>
      <w:r>
        <w:rPr>
          <w:sz w:val="20"/>
        </w:rPr>
        <w:t xml:space="preserve">г) наиболее опасного направления распространения пожара (создание угрозы ценным лесным насаждениям и (или) насаждениям, в которых возможен переход низового пожара в верховой, объектам экономики и населенным пунктам);</w:t>
      </w:r>
    </w:p>
    <w:p>
      <w:pPr>
        <w:pStyle w:val="0"/>
        <w:spacing w:before="200" w:line-rule="auto"/>
        <w:ind w:firstLine="540"/>
        <w:jc w:val="both"/>
      </w:pPr>
      <w:r>
        <w:rPr>
          <w:sz w:val="20"/>
        </w:rPr>
        <w:t xml:space="preserve">д) наличия естественных и искусственных препятствий для распространения пожара;</w:t>
      </w:r>
    </w:p>
    <w:p>
      <w:pPr>
        <w:pStyle w:val="0"/>
        <w:spacing w:before="200" w:line-rule="auto"/>
        <w:ind w:firstLine="540"/>
        <w:jc w:val="both"/>
      </w:pPr>
      <w:r>
        <w:rPr>
          <w:sz w:val="20"/>
        </w:rPr>
        <w:t xml:space="preserve">е) возможного усиления или ослабления пожара вследствие особенностей лесных участков и рельефа местности на пути его распространения, а также из-за изменений метеорологической обстановки;</w:t>
      </w:r>
    </w:p>
    <w:p>
      <w:pPr>
        <w:pStyle w:val="0"/>
        <w:spacing w:before="200" w:line-rule="auto"/>
        <w:ind w:firstLine="540"/>
        <w:jc w:val="both"/>
      </w:pPr>
      <w:r>
        <w:rPr>
          <w:sz w:val="20"/>
        </w:rPr>
        <w:t xml:space="preserve">ж) возможности подхода, подъезда к кромке пожара и применения механизированных средств локализации и тушения пожара;</w:t>
      </w:r>
    </w:p>
    <w:p>
      <w:pPr>
        <w:pStyle w:val="0"/>
        <w:spacing w:before="200" w:line-rule="auto"/>
        <w:ind w:firstLine="540"/>
        <w:jc w:val="both"/>
      </w:pPr>
      <w:r>
        <w:rPr>
          <w:sz w:val="20"/>
        </w:rPr>
        <w:t xml:space="preserve">з) наличия источников водоснабжения и возможности их использования;</w:t>
      </w:r>
    </w:p>
    <w:p>
      <w:pPr>
        <w:pStyle w:val="0"/>
        <w:spacing w:before="200" w:line-rule="auto"/>
        <w:ind w:firstLine="540"/>
        <w:jc w:val="both"/>
      </w:pPr>
      <w:r>
        <w:rPr>
          <w:sz w:val="20"/>
        </w:rPr>
        <w:t xml:space="preserve">и) наличия опорных полос для проведения отжига и условий прокладки минерализованных полос;</w:t>
      </w:r>
    </w:p>
    <w:p>
      <w:pPr>
        <w:pStyle w:val="0"/>
        <w:spacing w:before="200" w:line-rule="auto"/>
        <w:ind w:firstLine="540"/>
        <w:jc w:val="both"/>
      </w:pPr>
      <w:r>
        <w:rPr>
          <w:sz w:val="20"/>
        </w:rPr>
        <w:t xml:space="preserve">к) безопасных мест стоянки транспортных средств, расположения людей;</w:t>
      </w:r>
    </w:p>
    <w:p>
      <w:pPr>
        <w:pStyle w:val="0"/>
        <w:spacing w:before="200" w:line-rule="auto"/>
        <w:ind w:firstLine="540"/>
        <w:jc w:val="both"/>
      </w:pPr>
      <w:r>
        <w:rPr>
          <w:sz w:val="20"/>
        </w:rPr>
        <w:t xml:space="preserve">л) путей отхода лиц, осуществляющих тушение пожара, на случай возникновения опасности усиления огня, возможных мест укрытия.</w:t>
      </w:r>
    </w:p>
    <w:bookmarkStart w:id="168" w:name="P168"/>
    <w:bookmarkEnd w:id="168"/>
    <w:p>
      <w:pPr>
        <w:pStyle w:val="0"/>
        <w:spacing w:before="200" w:line-rule="auto"/>
        <w:ind w:firstLine="540"/>
        <w:jc w:val="both"/>
      </w:pPr>
      <w:r>
        <w:rPr>
          <w:sz w:val="20"/>
        </w:rPr>
        <w:t xml:space="preserve">38. При организации наземного обследования руководитель тушения лесного пожара устанавливает количество и состав работников, ставит перед ними задачи, определяет порядок передачи полученной информации. После проведения обследования лесного пожара руководитель тушения лесного пожара определяет план выполнения работ по его тушению и в устной форме доводит до руководителей каждого подразделения лесопожарного формирования. План выполнения работ по тушению лесного пожара включает в себя:</w:t>
      </w:r>
    </w:p>
    <w:p>
      <w:pPr>
        <w:pStyle w:val="0"/>
        <w:spacing w:before="200" w:line-rule="auto"/>
        <w:ind w:firstLine="540"/>
        <w:jc w:val="both"/>
      </w:pPr>
      <w:r>
        <w:rPr>
          <w:sz w:val="20"/>
        </w:rPr>
        <w:t xml:space="preserve">а) технические способы и тактические приемы ликвидации пожара;</w:t>
      </w:r>
    </w:p>
    <w:p>
      <w:pPr>
        <w:pStyle w:val="0"/>
        <w:spacing w:before="200" w:line-rule="auto"/>
        <w:ind w:firstLine="540"/>
        <w:jc w:val="both"/>
      </w:pPr>
      <w:r>
        <w:rPr>
          <w:sz w:val="20"/>
        </w:rPr>
        <w:t xml:space="preserve">б) сроки выполнения отдельных мероприятий по тушению пожара;</w:t>
      </w:r>
    </w:p>
    <w:p>
      <w:pPr>
        <w:pStyle w:val="0"/>
        <w:spacing w:before="200" w:line-rule="auto"/>
        <w:ind w:firstLine="540"/>
        <w:jc w:val="both"/>
      </w:pPr>
      <w:r>
        <w:rPr>
          <w:sz w:val="20"/>
        </w:rPr>
        <w:t xml:space="preserve">в) распределение имеющихся в наличии сил и средств пожаротушения по периметру пожара;</w:t>
      </w:r>
    </w:p>
    <w:p>
      <w:pPr>
        <w:pStyle w:val="0"/>
        <w:spacing w:before="200" w:line-rule="auto"/>
        <w:ind w:firstLine="540"/>
        <w:jc w:val="both"/>
      </w:pPr>
      <w:r>
        <w:rPr>
          <w:sz w:val="20"/>
        </w:rPr>
        <w:t xml:space="preserve">г) организация связи с подразделениями лесопожарных формирований;</w:t>
      </w:r>
    </w:p>
    <w:p>
      <w:pPr>
        <w:pStyle w:val="0"/>
        <w:spacing w:before="200" w:line-rule="auto"/>
        <w:ind w:firstLine="540"/>
        <w:jc w:val="both"/>
      </w:pPr>
      <w:r>
        <w:rPr>
          <w:sz w:val="20"/>
        </w:rPr>
        <w:t xml:space="preserve">д) привлечение дополнительных сил и средств пожаротушения;</w:t>
      </w:r>
    </w:p>
    <w:p>
      <w:pPr>
        <w:pStyle w:val="0"/>
        <w:spacing w:before="200" w:line-rule="auto"/>
        <w:ind w:firstLine="540"/>
        <w:jc w:val="both"/>
      </w:pPr>
      <w:r>
        <w:rPr>
          <w:sz w:val="20"/>
        </w:rPr>
        <w:t xml:space="preserve">е) мероприятия по сбору информации о ситуации на пожаре, ходе проведения работ по его тушению.</w:t>
      </w:r>
    </w:p>
    <w:p>
      <w:pPr>
        <w:pStyle w:val="0"/>
        <w:spacing w:before="200" w:line-rule="auto"/>
        <w:ind w:firstLine="540"/>
        <w:jc w:val="both"/>
      </w:pPr>
      <w:r>
        <w:rPr>
          <w:sz w:val="20"/>
        </w:rPr>
        <w:t xml:space="preserve">39. При тушении крупных лесных пожаров с целью обеспечения руководства и взаимодействия руководитель тушения лесного пожара составляет схему тушения лесного пожара (далее - Схема тушения), на которой отображаются основные элементы принятого им плана выполнения работ в соответствии с </w:t>
      </w:r>
      <w:hyperlink w:history="0" w:anchor="P168" w:tooltip="38. При организации наземного обследования руководитель тушения лесного пожара устанавливает количество и состав работников, ставит перед ними задачи, определяет порядок передачи полученной информации. После проведения обследования лесного пожара руководитель тушения лесного пожара определяет план выполнения работ по его тушению и в устной форме доводит до руководителей каждого подразделения лесопожарного формирования. План выполнения работ по тушению лесного пожара включает в себя:">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40. При тушении крупных лесных пожаров, для которых планируемый период тушения составляет менее 3 суток, Схема тушения составляется единожды на весь планируемый период тушения пожара. При необходимости в Схему тушения в связи с изменившейся обстановкой могут вноситься коррективы. Новая Схема тушения составляется в случае необходимости внесения существенных изменений в план выполнения работ по тушению пожара.</w:t>
      </w:r>
    </w:p>
    <w:p>
      <w:pPr>
        <w:pStyle w:val="0"/>
        <w:spacing w:before="200" w:line-rule="auto"/>
        <w:ind w:firstLine="540"/>
        <w:jc w:val="both"/>
      </w:pPr>
      <w:r>
        <w:rPr>
          <w:sz w:val="20"/>
        </w:rPr>
        <w:t xml:space="preserve">41. При тушении крупных лесных пожаров, для которых фактический или планируемый период тушения занимает более 3 суток, Схема тушения составляется ежедневно. Схема тушения пожара составляется до 9 часов утра текущего дня с предоставлением копий Схем тушения руководителям подразделений лесопожарных формирований, участвующих в тушении пожара. Копия Схемы тушения по запросу предоставляется в Оперативный штаб и (или) комиссию по предупреждению и ликвидации чрезвычайных ситуаций и обеспечению пожарной безопасности.</w:t>
      </w:r>
    </w:p>
    <w:p>
      <w:pPr>
        <w:pStyle w:val="0"/>
        <w:spacing w:before="200" w:line-rule="auto"/>
        <w:ind w:firstLine="540"/>
        <w:jc w:val="both"/>
      </w:pPr>
      <w:r>
        <w:rPr>
          <w:sz w:val="20"/>
        </w:rPr>
        <w:t xml:space="preserve">42. В случаях, когда в ходе тушения лесного пожара требуется внести значительные коррективы в план выполнения работ по тушению лесного пожара, новые Схемы тушения составляются в любой момент времени в течение всего периода тушения пожара.</w:t>
      </w:r>
    </w:p>
    <w:p>
      <w:pPr>
        <w:pStyle w:val="0"/>
        <w:spacing w:before="200" w:line-rule="auto"/>
        <w:ind w:firstLine="540"/>
        <w:jc w:val="both"/>
      </w:pPr>
      <w:r>
        <w:rPr>
          <w:sz w:val="20"/>
        </w:rPr>
        <w:t xml:space="preserve">43. Схема тушения составляется в произвольном масштабе с использованием топографической или лесопожарной карты, при необходимости может быть нанесена на планшет с планом лесонасаждений. Схема тушения составляется с обязательным указанием даты и времени составления, фамилией и подписью лица, ее составившего. Схема тушения состоит из графической и текстовой частей, отображающих замысел руководителя тушения лесного пожара, цели и задачи подчиненным подразделениям и специалистам, общий план выполнения работ по тушению пожара.</w:t>
      </w:r>
    </w:p>
    <w:p>
      <w:pPr>
        <w:pStyle w:val="0"/>
        <w:spacing w:before="200" w:line-rule="auto"/>
        <w:ind w:firstLine="540"/>
        <w:jc w:val="both"/>
      </w:pPr>
      <w:r>
        <w:rPr>
          <w:sz w:val="20"/>
        </w:rPr>
        <w:t xml:space="preserve">44. Графическая часть Схемы тушения содержит:</w:t>
      </w:r>
    </w:p>
    <w:p>
      <w:pPr>
        <w:pStyle w:val="0"/>
        <w:spacing w:before="200" w:line-rule="auto"/>
        <w:ind w:firstLine="540"/>
        <w:jc w:val="both"/>
      </w:pPr>
      <w:r>
        <w:rPr>
          <w:sz w:val="20"/>
        </w:rPr>
        <w:t xml:space="preserve">а) топографическую основу, отображающую основные необходимые элементы топографии;</w:t>
      </w:r>
    </w:p>
    <w:p>
      <w:pPr>
        <w:pStyle w:val="0"/>
        <w:spacing w:before="200" w:line-rule="auto"/>
        <w:ind w:firstLine="540"/>
        <w:jc w:val="both"/>
      </w:pPr>
      <w:r>
        <w:rPr>
          <w:sz w:val="20"/>
        </w:rPr>
        <w:t xml:space="preserve">б) контур лесного пожара по состоянию на момент составления Схемы тушения, направление распространения отдельных элементов или всей кромки пожара, его площадь;</w:t>
      </w:r>
    </w:p>
    <w:p>
      <w:pPr>
        <w:pStyle w:val="0"/>
        <w:spacing w:before="200" w:line-rule="auto"/>
        <w:ind w:firstLine="540"/>
        <w:jc w:val="both"/>
      </w:pPr>
      <w:r>
        <w:rPr>
          <w:sz w:val="20"/>
        </w:rPr>
        <w:t xml:space="preserve">в) привязку к местности (при наличии - с указанием квартальной сети);</w:t>
      </w:r>
    </w:p>
    <w:p>
      <w:pPr>
        <w:pStyle w:val="0"/>
        <w:spacing w:before="200" w:line-rule="auto"/>
        <w:ind w:firstLine="540"/>
        <w:jc w:val="both"/>
      </w:pPr>
      <w:r>
        <w:rPr>
          <w:sz w:val="20"/>
        </w:rPr>
        <w:t xml:space="preserve">г) критические направления и факторы, влияющие на процессы принятия решений и условия проведения действий по тушению пожара;</w:t>
      </w:r>
    </w:p>
    <w:p>
      <w:pPr>
        <w:pStyle w:val="0"/>
        <w:spacing w:before="200" w:line-rule="auto"/>
        <w:ind w:firstLine="540"/>
        <w:jc w:val="both"/>
      </w:pPr>
      <w:r>
        <w:rPr>
          <w:sz w:val="20"/>
        </w:rPr>
        <w:t xml:space="preserve">д) наличие естественных (реки, ручьи, озера, водоемы) или искусственных (дороги, тропы, минерализованные полосы, противопожарные барьеры) преград и опорных линий;</w:t>
      </w:r>
    </w:p>
    <w:p>
      <w:pPr>
        <w:pStyle w:val="0"/>
        <w:spacing w:before="200" w:line-rule="auto"/>
        <w:ind w:firstLine="540"/>
        <w:jc w:val="both"/>
      </w:pPr>
      <w:r>
        <w:rPr>
          <w:sz w:val="20"/>
        </w:rPr>
        <w:t xml:space="preserve">е) расположение подразделений лесопожарных формирований, с указанием секторов и участков лесного пожара (при необходимости указывается детальная расстановка сил и отдельных средств пожаротушения);</w:t>
      </w:r>
    </w:p>
    <w:p>
      <w:pPr>
        <w:pStyle w:val="0"/>
        <w:spacing w:before="200" w:line-rule="auto"/>
        <w:ind w:firstLine="540"/>
        <w:jc w:val="both"/>
      </w:pPr>
      <w:r>
        <w:rPr>
          <w:sz w:val="20"/>
        </w:rPr>
        <w:t xml:space="preserve">ж) основные задачи подразделений лесопожарных формирований, включая указание основного (оптимального) направления тушения пожара.</w:t>
      </w:r>
    </w:p>
    <w:p>
      <w:pPr>
        <w:pStyle w:val="0"/>
        <w:spacing w:before="200" w:line-rule="auto"/>
        <w:ind w:firstLine="540"/>
        <w:jc w:val="both"/>
      </w:pPr>
      <w:r>
        <w:rPr>
          <w:sz w:val="20"/>
        </w:rPr>
        <w:t xml:space="preserve">45. Отображение тактической обстановки на Схеме тушения осуществляется с использованием унифицированных символов, представленных в приложении к настоящим Правилам.</w:t>
      </w:r>
    </w:p>
    <w:p>
      <w:pPr>
        <w:pStyle w:val="0"/>
        <w:spacing w:before="200" w:line-rule="auto"/>
        <w:ind w:firstLine="540"/>
        <w:jc w:val="both"/>
      </w:pPr>
      <w:r>
        <w:rPr>
          <w:sz w:val="20"/>
        </w:rPr>
        <w:t xml:space="preserve">46. Текстовая часть Схемы тушения содержит:</w:t>
      </w:r>
    </w:p>
    <w:p>
      <w:pPr>
        <w:pStyle w:val="0"/>
        <w:spacing w:before="200" w:line-rule="auto"/>
        <w:ind w:firstLine="540"/>
        <w:jc w:val="both"/>
      </w:pPr>
      <w:r>
        <w:rPr>
          <w:sz w:val="20"/>
        </w:rPr>
        <w:t xml:space="preserve">а) информацию о построении управления силами пожаротушения на пожаре;</w:t>
      </w:r>
    </w:p>
    <w:p>
      <w:pPr>
        <w:pStyle w:val="0"/>
        <w:spacing w:before="200" w:line-rule="auto"/>
        <w:ind w:firstLine="540"/>
        <w:jc w:val="both"/>
      </w:pPr>
      <w:r>
        <w:rPr>
          <w:sz w:val="20"/>
        </w:rPr>
        <w:t xml:space="preserve">б) информацию для обеспечения взаимодействия и связи между подразделениями лесопожарных формирований на пожаре;</w:t>
      </w:r>
    </w:p>
    <w:p>
      <w:pPr>
        <w:pStyle w:val="0"/>
        <w:spacing w:before="200" w:line-rule="auto"/>
        <w:ind w:firstLine="540"/>
        <w:jc w:val="both"/>
      </w:pPr>
      <w:r>
        <w:rPr>
          <w:sz w:val="20"/>
        </w:rPr>
        <w:t xml:space="preserve">в) дополнительную информацию, необходимую для обеспечения эффективности тушения пожара.</w:t>
      </w:r>
    </w:p>
    <w:p>
      <w:pPr>
        <w:pStyle w:val="0"/>
        <w:spacing w:before="200" w:line-rule="auto"/>
        <w:ind w:firstLine="540"/>
        <w:jc w:val="both"/>
      </w:pPr>
      <w:r>
        <w:rPr>
          <w:sz w:val="20"/>
        </w:rPr>
        <w:t xml:space="preserve">47. В случае необходимости руководитель тушения лесного пожара отображает на Схеме тушения иную дополнительную графическую и (или) текстовую информацию.</w:t>
      </w:r>
    </w:p>
    <w:p>
      <w:pPr>
        <w:pStyle w:val="0"/>
        <w:spacing w:before="200" w:line-rule="auto"/>
        <w:ind w:firstLine="540"/>
        <w:jc w:val="both"/>
      </w:pPr>
      <w:r>
        <w:rPr>
          <w:sz w:val="20"/>
        </w:rPr>
        <w:t xml:space="preserve">48. При получении Схемы тушения руководители подразделений лесопожарных формирований обязаны сопоставить данную Схему тушения со своим имеющимся картографическим материалом.</w:t>
      </w:r>
    </w:p>
    <w:p>
      <w:pPr>
        <w:pStyle w:val="0"/>
        <w:spacing w:before="200" w:line-rule="auto"/>
        <w:ind w:firstLine="540"/>
        <w:jc w:val="both"/>
      </w:pPr>
      <w:r>
        <w:rPr>
          <w:sz w:val="20"/>
        </w:rPr>
        <w:t xml:space="preserve">49. Доставка людей и средств тушения лесных пожаров к месту тушения лесного пожара и обратно включает в себя сбор в местах постоянной дислокации работников подразделений лесопожарных формирований и других привлекаемых в соответствии с планами тушения лиц, их доставку наземным, водным и (или) авиационным транспортом к месту пожара, включая при необходимости создание временных посадочных площадок для вертолета.</w:t>
      </w:r>
    </w:p>
    <w:p>
      <w:pPr>
        <w:pStyle w:val="0"/>
        <w:spacing w:before="200" w:line-rule="auto"/>
        <w:ind w:firstLine="540"/>
        <w:jc w:val="both"/>
      </w:pPr>
      <w:r>
        <w:rPr>
          <w:sz w:val="20"/>
        </w:rPr>
        <w:t xml:space="preserve">50. При расчете сил и средств пожаротушения руководители подразделений лесопожарных формирований учитывают силу и скорость распространения пожара, возможность его развития в верховой пожар.</w:t>
      </w:r>
    </w:p>
    <w:p>
      <w:pPr>
        <w:pStyle w:val="0"/>
        <w:spacing w:before="200" w:line-rule="auto"/>
        <w:ind w:firstLine="540"/>
        <w:jc w:val="both"/>
      </w:pPr>
      <w:r>
        <w:rPr>
          <w:sz w:val="20"/>
        </w:rPr>
        <w:t xml:space="preserve">51. Организация работы и распределение сил и средств пожаротушения во время пожароопасного периода осуществляются таким образом, чтобы прибытие наземных сил и средств к месту загорания или пожара в лесах и начало проведения работ по остановке продвижения огня и локализации могло осуществляться с учетом обеспечения:</w:t>
      </w:r>
    </w:p>
    <w:p>
      <w:pPr>
        <w:pStyle w:val="0"/>
        <w:spacing w:before="200" w:line-rule="auto"/>
        <w:ind w:firstLine="540"/>
        <w:jc w:val="both"/>
      </w:pPr>
      <w:r>
        <w:rPr>
          <w:sz w:val="20"/>
        </w:rPr>
        <w:t xml:space="preserve">а) доступности участков, отнесенных к 1 классу природной пожарной опасности лесов, для сил и средств пожаротушения - в течение одного часа с момента возникновения пожара;</w:t>
      </w:r>
    </w:p>
    <w:p>
      <w:pPr>
        <w:pStyle w:val="0"/>
        <w:spacing w:before="200" w:line-rule="auto"/>
        <w:ind w:firstLine="540"/>
        <w:jc w:val="both"/>
      </w:pPr>
      <w:r>
        <w:rPr>
          <w:sz w:val="20"/>
        </w:rPr>
        <w:t xml:space="preserve">б) доступности участков, отнесенных ко 2 классу природной пожарной опасности лесов, для сил и средств пожаротушения - в течение двух часов с момента возникновения пожара;</w:t>
      </w:r>
    </w:p>
    <w:p>
      <w:pPr>
        <w:pStyle w:val="0"/>
        <w:spacing w:before="200" w:line-rule="auto"/>
        <w:ind w:firstLine="540"/>
        <w:jc w:val="both"/>
      </w:pPr>
      <w:r>
        <w:rPr>
          <w:sz w:val="20"/>
        </w:rPr>
        <w:t xml:space="preserve">в) доступности участков, отнесенных к 3 - 5 классам природной пожарной опасности лесов, для сил и средств пожаротушения - в течение трех часов с момента возникновения пожара.</w:t>
      </w:r>
    </w:p>
    <w:p>
      <w:pPr>
        <w:pStyle w:val="0"/>
        <w:spacing w:before="200" w:line-rule="auto"/>
        <w:ind w:firstLine="540"/>
        <w:jc w:val="both"/>
      </w:pPr>
      <w:r>
        <w:rPr>
          <w:sz w:val="20"/>
        </w:rPr>
        <w:t xml:space="preserve">52. Для обеспечения оперативной ликвидации лесного пожара при скорости ветра более 5 м/сек, а также при 4 и 5 классах пожарной опасности в лесах в зависимости от условий погоды предельное время прибытия и начала проведения работ по тушению пожара на участках 1 - 3 классов природной пожарной опасности лесов по возможности уменьшается в 2 раза. При отсутствии возможности сокращения времени численность работников подразделений лесопожарных формирований и количество средств пожаротушения, направляемых на пожар, должна быть увеличена в 2 раза и более.</w:t>
      </w:r>
    </w:p>
    <w:p>
      <w:pPr>
        <w:pStyle w:val="0"/>
        <w:spacing w:before="200" w:line-rule="auto"/>
        <w:ind w:firstLine="540"/>
        <w:jc w:val="both"/>
      </w:pPr>
      <w:r>
        <w:rPr>
          <w:sz w:val="20"/>
        </w:rPr>
        <w:t xml:space="preserve">53. При обнаружении в пути следования к месту лесного пожара другого лесного пожара руководитель подразделения лесопожарной организации (лесопожарного формирования), следующего к месту пожара, сообщает об обнаруженном пожаре в специализированную диспетчерскую службу. Следование к месту пожара прекращается только по указанию (распоряжению) специализированной диспетчерской службы.</w:t>
      </w:r>
    </w:p>
    <w:p>
      <w:pPr>
        <w:pStyle w:val="0"/>
        <w:spacing w:before="200" w:line-rule="auto"/>
        <w:ind w:firstLine="540"/>
        <w:jc w:val="both"/>
      </w:pPr>
      <w:r>
        <w:rPr>
          <w:sz w:val="20"/>
        </w:rPr>
        <w:t xml:space="preserve">54. Локализация лесного пожара достигается путем выполнения комплекса действий, направленных на предотвращение возможности дальнейшего распространения горения путем создания минерализованных полос, противопожарных барьеров и (или) полностью потушенных участков кромки по всему периметру пожара и создание условий для его ликвидации имеющимися силами и средствами пожаротушения.</w:t>
      </w:r>
    </w:p>
    <w:p>
      <w:pPr>
        <w:pStyle w:val="0"/>
        <w:spacing w:before="200" w:line-rule="auto"/>
        <w:ind w:firstLine="540"/>
        <w:jc w:val="both"/>
      </w:pPr>
      <w:r>
        <w:rPr>
          <w:sz w:val="20"/>
        </w:rPr>
        <w:t xml:space="preserve">55. Первоначальным этапом локализации лесного пожара является остановка его распространения, включающая в себя действия сил и средств пожаротушения, направленные на остановку распространения кромки пожара в первую очередь на опасных и критических направлениях, на которых может возникнуть угроза ценным насаждениям, населенным пунктам и объектам инфраструктуры.</w:t>
      </w:r>
    </w:p>
    <w:p>
      <w:pPr>
        <w:pStyle w:val="0"/>
        <w:spacing w:before="200" w:line-rule="auto"/>
        <w:ind w:firstLine="540"/>
        <w:jc w:val="both"/>
      </w:pPr>
      <w:r>
        <w:rPr>
          <w:sz w:val="20"/>
        </w:rPr>
        <w:t xml:space="preserve">56. Локализованным считается лесной пожар, при котором созданы условия для его нераспространения путем ограничения его по всему периметру заградительными минеральными полосами, противопожарными барьерами и (или) потушенными участками кромки, и (или) естественными преградами.</w:t>
      </w:r>
    </w:p>
    <w:p>
      <w:pPr>
        <w:pStyle w:val="0"/>
        <w:spacing w:before="200" w:line-rule="auto"/>
        <w:ind w:firstLine="540"/>
        <w:jc w:val="both"/>
      </w:pPr>
      <w:r>
        <w:rPr>
          <w:sz w:val="20"/>
        </w:rPr>
        <w:t xml:space="preserve">57. Выбор тактических приемов, методов и способов тушения лесных пожаров осуществляется руководителем тушения лесного пожара и руководителями подразделений лесопожарных формирований самостоятельно с учетом особенностей лесной растительности, рельефа местности, типов почв, вида пожара, его интенсивности и размера, текущих и прогнозируемых погодных условий, наличия сил и средств пожаротушения, обеспечения безопасного проведения работ, наличия транспортной и водной сети в районе тушения, периода начала тушения пожара относительно светового времени суток, а также особенностей тушения пожаров на лесных участках, загрязненных радионуклидами.</w:t>
      </w:r>
    </w:p>
    <w:p>
      <w:pPr>
        <w:pStyle w:val="0"/>
        <w:spacing w:before="200" w:line-rule="auto"/>
        <w:ind w:firstLine="540"/>
        <w:jc w:val="both"/>
      </w:pPr>
      <w:r>
        <w:rPr>
          <w:sz w:val="20"/>
        </w:rPr>
        <w:t xml:space="preserve">58. При тушении лесных пожаров используют два метода - прямой и косвенный. Прямой метод применяется при тушении низовых пожаров слабой и средней интенсивности в случаях, когда есть возможность непосредственно потушить кромку пожара и (или) создать у кромки пожара заградительную полосу. Косвенный метод применяется при тушении низовых сильных и верховых лесных пожаров, когда линия остановки огня выбирается на определенном расстоянии от кромки пожара.</w:t>
      </w:r>
    </w:p>
    <w:p>
      <w:pPr>
        <w:pStyle w:val="0"/>
        <w:spacing w:before="200" w:line-rule="auto"/>
        <w:ind w:firstLine="540"/>
        <w:jc w:val="both"/>
      </w:pPr>
      <w:r>
        <w:rPr>
          <w:sz w:val="20"/>
        </w:rPr>
        <w:t xml:space="preserve">59. При тушении лесных пожаров применяются следующие способы и технические средства:</w:t>
      </w:r>
    </w:p>
    <w:p>
      <w:pPr>
        <w:pStyle w:val="0"/>
        <w:spacing w:before="200" w:line-rule="auto"/>
        <w:ind w:firstLine="540"/>
        <w:jc w:val="both"/>
      </w:pPr>
      <w:r>
        <w:rPr>
          <w:sz w:val="20"/>
        </w:rPr>
        <w:t xml:space="preserve">а) захлестывание огня (сбивание пламени) по кромке пожара;</w:t>
      </w:r>
    </w:p>
    <w:p>
      <w:pPr>
        <w:pStyle w:val="0"/>
        <w:spacing w:before="200" w:line-rule="auto"/>
        <w:ind w:firstLine="540"/>
        <w:jc w:val="both"/>
      </w:pPr>
      <w:r>
        <w:rPr>
          <w:sz w:val="20"/>
        </w:rPr>
        <w:t xml:space="preserve">б) засыпка кромки пожара грунтом;</w:t>
      </w:r>
    </w:p>
    <w:p>
      <w:pPr>
        <w:pStyle w:val="0"/>
        <w:spacing w:before="200" w:line-rule="auto"/>
        <w:ind w:firstLine="540"/>
        <w:jc w:val="both"/>
      </w:pPr>
      <w:r>
        <w:rPr>
          <w:sz w:val="20"/>
        </w:rPr>
        <w:t xml:space="preserve">в) прокладка заградительных и опорных минерализованных полос;</w:t>
      </w:r>
    </w:p>
    <w:p>
      <w:pPr>
        <w:pStyle w:val="0"/>
        <w:spacing w:before="200" w:line-rule="auto"/>
        <w:ind w:firstLine="540"/>
        <w:jc w:val="both"/>
      </w:pPr>
      <w:r>
        <w:rPr>
          <w:sz w:val="20"/>
        </w:rPr>
        <w:t xml:space="preserve">г) отжиг горючих материалов перед кромкой пожара;</w:t>
      </w:r>
    </w:p>
    <w:p>
      <w:pPr>
        <w:pStyle w:val="0"/>
        <w:spacing w:before="200" w:line-rule="auto"/>
        <w:ind w:firstLine="540"/>
        <w:jc w:val="both"/>
      </w:pPr>
      <w:r>
        <w:rPr>
          <w:sz w:val="20"/>
        </w:rPr>
        <w:t xml:space="preserve">д) тушение водой и огнетушащими (огнезадерживающими) растворами, в том числе с применением авиации.</w:t>
      </w:r>
    </w:p>
    <w:p>
      <w:pPr>
        <w:pStyle w:val="0"/>
        <w:spacing w:before="200" w:line-rule="auto"/>
        <w:ind w:firstLine="540"/>
        <w:jc w:val="both"/>
      </w:pPr>
      <w:r>
        <w:rPr>
          <w:sz w:val="20"/>
        </w:rPr>
        <w:t xml:space="preserve">60. Захлестывание огня (сбивание пламени) по кромке лесного пожара применяют для остановки продвижения огня при тушении низовых пожаров слабой и средней интенсивности.</w:t>
      </w:r>
    </w:p>
    <w:p>
      <w:pPr>
        <w:pStyle w:val="0"/>
        <w:spacing w:before="200" w:line-rule="auto"/>
        <w:ind w:firstLine="540"/>
        <w:jc w:val="both"/>
      </w:pPr>
      <w:r>
        <w:rPr>
          <w:sz w:val="20"/>
        </w:rPr>
        <w:t xml:space="preserve">61. Засыпка кромки лесного пожара грунтом применяется на легких песчаных и супесчаных слабозадерненных почвах, когда применение захлестывания огня малоэффективно, а быстрая прокладка заградительных полос невозможна.</w:t>
      </w:r>
    </w:p>
    <w:p>
      <w:pPr>
        <w:pStyle w:val="0"/>
        <w:spacing w:before="200" w:line-rule="auto"/>
        <w:ind w:firstLine="540"/>
        <w:jc w:val="both"/>
      </w:pPr>
      <w:r>
        <w:rPr>
          <w:sz w:val="20"/>
        </w:rPr>
        <w:t xml:space="preserve">62. Прокладка заградительных и опорных минерализованных полос производится автотракторной техникой с почвообрабатывающими орудиями, ручными (в том числе механизированными) орудиями в целях:</w:t>
      </w:r>
    </w:p>
    <w:p>
      <w:pPr>
        <w:pStyle w:val="0"/>
        <w:spacing w:before="200" w:line-rule="auto"/>
        <w:ind w:firstLine="540"/>
        <w:jc w:val="both"/>
      </w:pPr>
      <w:r>
        <w:rPr>
          <w:sz w:val="20"/>
        </w:rPr>
        <w:t xml:space="preserve">а) локализации лесных пожаров без предварительной остановки их распространения непосредственным воздействием на кромку;</w:t>
      </w:r>
    </w:p>
    <w:p>
      <w:pPr>
        <w:pStyle w:val="0"/>
        <w:spacing w:before="200" w:line-rule="auto"/>
        <w:ind w:firstLine="540"/>
        <w:jc w:val="both"/>
      </w:pPr>
      <w:r>
        <w:rPr>
          <w:sz w:val="20"/>
        </w:rPr>
        <w:t xml:space="preserve">б) локализации лесных пожаров, распространение которых было приостановлено;</w:t>
      </w:r>
    </w:p>
    <w:p>
      <w:pPr>
        <w:pStyle w:val="0"/>
        <w:spacing w:before="200" w:line-rule="auto"/>
        <w:ind w:firstLine="540"/>
        <w:jc w:val="both"/>
      </w:pPr>
      <w:r>
        <w:rPr>
          <w:sz w:val="20"/>
        </w:rPr>
        <w:t xml:space="preserve">в) применения отжига от опорных полос;</w:t>
      </w:r>
    </w:p>
    <w:p>
      <w:pPr>
        <w:pStyle w:val="0"/>
        <w:spacing w:before="200" w:line-rule="auto"/>
        <w:ind w:firstLine="540"/>
        <w:jc w:val="both"/>
      </w:pPr>
      <w:r>
        <w:rPr>
          <w:sz w:val="20"/>
        </w:rPr>
        <w:t xml:space="preserve">г) создание противопожарных барьеров.</w:t>
      </w:r>
    </w:p>
    <w:p>
      <w:pPr>
        <w:pStyle w:val="0"/>
        <w:spacing w:before="200" w:line-rule="auto"/>
        <w:ind w:firstLine="540"/>
        <w:jc w:val="both"/>
      </w:pPr>
      <w:r>
        <w:rPr>
          <w:sz w:val="20"/>
        </w:rPr>
        <w:t xml:space="preserve">63. Заградительные и опорные минерализованные полосы должны своими концами упираться в естественные или искусственные противопожарные барьеры (дороги, ручьи, реки, прогалины, минерализованные полосы, полосы из огнезадерживающих веществ, участки пожарища).</w:t>
      </w:r>
    </w:p>
    <w:p>
      <w:pPr>
        <w:pStyle w:val="0"/>
        <w:spacing w:before="200" w:line-rule="auto"/>
        <w:ind w:firstLine="540"/>
        <w:jc w:val="both"/>
      </w:pPr>
      <w:r>
        <w:rPr>
          <w:sz w:val="20"/>
        </w:rPr>
        <w:t xml:space="preserve">При отсутствии механизированных средств либо невозможности их применения (в случаях небольших по площади пожаров, трудностей маневрирования из-за густоты древостоя, заболоченности местности, горного рельефа, отсутствия транспортных путей) минерализованные полосы, противопожарные барьеры прокладываются (при необходимости с вырубкой деревьев, кустарников, лиан) с помощью ручных орудий, огнетушащих (огнезадерживающих) веществ, взрывчатых материалов и выполнения взрывных работ.</w:t>
      </w:r>
    </w:p>
    <w:p>
      <w:pPr>
        <w:pStyle w:val="0"/>
        <w:spacing w:before="200" w:line-rule="auto"/>
        <w:ind w:firstLine="540"/>
        <w:jc w:val="both"/>
      </w:pPr>
      <w:r>
        <w:rPr>
          <w:sz w:val="20"/>
        </w:rPr>
        <w:t xml:space="preserve">Заградительные полосы создаются шириной 1,4 м и более при возникновении слабых средних лесных пожаров (скорость продвижения огня меньше 1 м/мин.) и шириной до 9 м - при сильных лесных пожарах (скорость продвижения огня более 3 м/мин.). Заградительные полосы, созданные с применением химических огнетушащих и огнезадерживающих веществ (ретардантов, пенообразователей и смачивателей), - опорные химические полосы.</w:t>
      </w:r>
    </w:p>
    <w:p>
      <w:pPr>
        <w:pStyle w:val="0"/>
        <w:spacing w:before="200" w:line-rule="auto"/>
        <w:ind w:firstLine="540"/>
        <w:jc w:val="both"/>
      </w:pPr>
      <w:r>
        <w:rPr>
          <w:sz w:val="20"/>
        </w:rPr>
        <w:t xml:space="preserve">64. Решение о выполнении взрывных работ в целях локализации и ликвидации лесного пожара принимает федеральный штаб по координации деятельности по тушению лесных пожаров по согласованию с соответствующими органами государственной власти субъектов Российской Федерации в области лесных отношений и федеральными государственными бюджетными учреждениями, осуществляющими управление ООПТ.</w:t>
      </w:r>
    </w:p>
    <w:p>
      <w:pPr>
        <w:pStyle w:val="0"/>
        <w:spacing w:before="200" w:line-rule="auto"/>
        <w:ind w:firstLine="540"/>
        <w:jc w:val="both"/>
      </w:pPr>
      <w:r>
        <w:rPr>
          <w:sz w:val="20"/>
        </w:rPr>
        <w:t xml:space="preserve">65. Отжиг производится в целях тушения верховых лесных пожаров всех видов, а также низовых лесных пожаров высокой и средней интенсивности. Пуск отжига производится от имеющихся на площади пожара естественных и (или) искусственных опорных полос, а при их отсутствии - от специально созданных опорных полос, проложенных различными способами, в том числе с использованием взрывчатых материалов, растворов огнетушащих и огнезадерживающих веществ, шириной от 0,3 м до 9 м в зависимости от интенсивности и вида пожара. Для ускорения выжигания используются различные способы отжига (линейный, гребенкой, ступенчатый, метод опережающего огня, пятнистый). При тушении верховых лесных пожаров производится выжигание напочвенных горючих материалов в полосе, шириной равной не менее расстоянию двух возможных скачков верхового пожара (до 600 метров и более).</w:t>
      </w:r>
    </w:p>
    <w:p>
      <w:pPr>
        <w:pStyle w:val="0"/>
        <w:spacing w:before="200" w:line-rule="auto"/>
        <w:ind w:firstLine="540"/>
        <w:jc w:val="both"/>
      </w:pPr>
      <w:r>
        <w:rPr>
          <w:sz w:val="20"/>
        </w:rPr>
        <w:t xml:space="preserve">66. Тушение водой, растворами огнетушащих и огнезадерживающих веществ применяется в целях осуществления прямого тушения кромки лесных пожаров и (или) косвенного тушения низовых сильных, почвенных и верховых пожаров путем создания временных опорных полос для проведения отжига. При тушении лесных пожаров используют растворы огнетушащих и огнезадерживающих веществ, обладающие экологической безопасностью для окружающей среды и санитарной безопасностью для людей, пребывающих в пределах границ территории, на которой осуществляются действия по тушению лесного пожара.</w:t>
      </w:r>
    </w:p>
    <w:p>
      <w:pPr>
        <w:pStyle w:val="0"/>
        <w:spacing w:before="200" w:line-rule="auto"/>
        <w:ind w:firstLine="540"/>
        <w:jc w:val="both"/>
      </w:pPr>
      <w:r>
        <w:rPr>
          <w:sz w:val="20"/>
        </w:rPr>
        <w:t xml:space="preserve">67. Периметр крупного пожара с учетом рельефа местности и растительного покрова, лесорастительных условий, наличия естественных и искусственных рубежей и имеющихся сил и средств пожаротушения по решению руководителя тушения лесного пожара может разграничиваться на сектора и участки пожара, за которыми руководителем тушения лесного пожара закрепляются ответственные лица - руководители секторов (РС) или участков (РУ). Ответственные лица обеспечивают организацию сбора информации о текущей обстановке (ситуации) на пожаре, обеспечения работ, руководство всеми привлекаемыми силами и средствами пожаротушения, организацию их взаимодействия в данном секторе (участке) лесного пожара.</w:t>
      </w:r>
    </w:p>
    <w:p>
      <w:pPr>
        <w:pStyle w:val="0"/>
        <w:spacing w:before="200" w:line-rule="auto"/>
        <w:ind w:firstLine="540"/>
        <w:jc w:val="both"/>
      </w:pPr>
      <w:r>
        <w:rPr>
          <w:sz w:val="20"/>
        </w:rPr>
        <w:t xml:space="preserve">68. Тушение лесного пожара с применением авиации производится в целях снижения интенсивности горения на кромке пожара, чтобы создать для наземных сил и средств пожаротушения условия для перехода от косвенного метода тушения пожара к прямому, для приостановления распространения горения до прибытия наземных сил и средств пожаротушения к местам тушения лесных пожаров.</w:t>
      </w:r>
    </w:p>
    <w:p>
      <w:pPr>
        <w:pStyle w:val="0"/>
        <w:spacing w:before="200" w:line-rule="auto"/>
        <w:ind w:firstLine="540"/>
        <w:jc w:val="both"/>
      </w:pPr>
      <w:r>
        <w:rPr>
          <w:sz w:val="20"/>
        </w:rPr>
        <w:t xml:space="preserve">Решение о целесообразности использования при тушении лесного пожара самолетов-танкеров и вертолетов с водосливными устройствами принимает руководитель тушения лесного пожара. Применение авиации организуется в соответствии с реализуемой руководителем тушения лесного пожара тактикой и стратегией тушения. Авиационное тушение лесных пожаров производится при непосредственном взаимодействии экипажа воздушного судна с руководителем группы (команды) наземных сил пожаротушения.</w:t>
      </w:r>
    </w:p>
    <w:p>
      <w:pPr>
        <w:pStyle w:val="0"/>
        <w:spacing w:before="200" w:line-rule="auto"/>
        <w:ind w:firstLine="540"/>
        <w:jc w:val="both"/>
      </w:pPr>
      <w:r>
        <w:rPr>
          <w:sz w:val="20"/>
        </w:rPr>
        <w:t xml:space="preserve">При нахождении на кромке пожара наземных сил пожаротушения запрещается производить авиационное тушение (сбросы, сливы) с самолетов-танкеров и вертолетов с водосливными устройствами при отсутствии радиосвязи между экипажем воздушного судна и группой (командой) наземных сил пожаротушения.</w:t>
      </w:r>
    </w:p>
    <w:p>
      <w:pPr>
        <w:pStyle w:val="0"/>
        <w:spacing w:before="200" w:line-rule="auto"/>
        <w:ind w:firstLine="540"/>
        <w:jc w:val="both"/>
      </w:pPr>
      <w:r>
        <w:rPr>
          <w:sz w:val="20"/>
        </w:rPr>
        <w:t xml:space="preserve">69. После локализации лесного пожара руководитель тушения лесного пожара обязан лично осмотреть границы пожара или привлечь для осмотра частей кромки пожара работников подразделений лесопожарных формирований в целях подтверждения надежности локализации всей кромки пожара. В местах, где выявлена необходимость усилить локализацию, немедленно проводятся меры по прокладке дополнительных заградительных и минерализованных полос, противопожарных барьеров.</w:t>
      </w:r>
    </w:p>
    <w:p>
      <w:pPr>
        <w:pStyle w:val="0"/>
        <w:spacing w:before="200" w:line-rule="auto"/>
        <w:ind w:firstLine="540"/>
        <w:jc w:val="both"/>
      </w:pPr>
      <w:r>
        <w:rPr>
          <w:sz w:val="20"/>
        </w:rPr>
        <w:t xml:space="preserve">70. Ликвидация лесного пожара является завершающим этапом тушения лесного пожара после завершения работ по дотушиванию и окарауливанию, когда устанавливается, что отсутствуют условия для возобновления пожара. После ликвидации лесного пожара производится прекращение всех работ по тушению и возврат сил и средств пожаротушения к местам постоянной дислокации или направление их на тушение других пожаров. В случае, когда на ликвидированном лесном пожаре в течение 5 дней произошло возобновление горения от потушенных частей пожара, данный пожар считается возобновившимся.</w:t>
      </w:r>
    </w:p>
    <w:p>
      <w:pPr>
        <w:pStyle w:val="0"/>
        <w:spacing w:before="200" w:line-rule="auto"/>
        <w:ind w:firstLine="540"/>
        <w:jc w:val="both"/>
      </w:pPr>
      <w:r>
        <w:rPr>
          <w:sz w:val="20"/>
        </w:rPr>
        <w:t xml:space="preserve">71. Наблюдение за локализованным лесным пожаром и его дотушивание заключается в ликвидации очагов горения, оставшихся на пройденной пожаром площади после его локализации. Проводится дотушивание всех очагов горения в полосе шириной до 50 - 70 метров (или на расстоянии двойной высоты древостоя) от локализованной кромки внутри пожарища в целях исключения возможного переброса огня за границы линии локализации.</w:t>
      </w:r>
    </w:p>
    <w:p>
      <w:pPr>
        <w:pStyle w:val="0"/>
        <w:spacing w:before="200" w:line-rule="auto"/>
        <w:ind w:firstLine="540"/>
        <w:jc w:val="both"/>
      </w:pPr>
      <w:r>
        <w:rPr>
          <w:sz w:val="20"/>
        </w:rPr>
        <w:t xml:space="preserve">72. Предотвращение возобновления лесного пожара (окарауливание пожара) состоит в осмотре пройденной огнем площади с целью предотвращения его возобновления от скрытых очагов горения, не выявленных при дотушивании. Окарауливание проводится до полного прекращения горения на кромке пожара и организуется уже в процессе его остановки, когда по мере продвижения вдоль ликвидируемой (локализованной) кромки пожара оставляется часть работников, которые ликвидируют очаги загораний за опорной полосой и по кромке пожара. На участке пожарища, а также в пределах до 40 метров от линии локализации вне пожарища, где ведутся работы по дотушиванию и окарауливанию могут быть удалены (спилены, срублены, разделены на сегменты) отдельные пожароопасные, травмоопасные, сухостойные и (или) поврежденные огнем деревья, кустарники, которые представляют опасность перехода огня за линию локализации пожара.</w:t>
      </w:r>
    </w:p>
    <w:p>
      <w:pPr>
        <w:pStyle w:val="0"/>
        <w:spacing w:before="200" w:line-rule="auto"/>
        <w:ind w:firstLine="540"/>
        <w:jc w:val="both"/>
      </w:pPr>
      <w:r>
        <w:rPr>
          <w:sz w:val="20"/>
        </w:rPr>
        <w:t xml:space="preserve">73. В течение 5 дней после ликвидации лесного пожара руководителем лесничества составляется акт о лесном пожаре (далее - акт). Данные о ходе тушения лесного пожара предоставляются специализированной лесопожарной организацией или руководством лесопожарного формирования. В акте указываются:</w:t>
      </w:r>
    </w:p>
    <w:p>
      <w:pPr>
        <w:pStyle w:val="0"/>
        <w:spacing w:before="200" w:line-rule="auto"/>
        <w:ind w:firstLine="540"/>
        <w:jc w:val="both"/>
      </w:pPr>
      <w:r>
        <w:rPr>
          <w:sz w:val="20"/>
        </w:rPr>
        <w:t xml:space="preserve">дата, время составления акта;</w:t>
      </w:r>
    </w:p>
    <w:p>
      <w:pPr>
        <w:pStyle w:val="0"/>
        <w:spacing w:before="200" w:line-rule="auto"/>
        <w:ind w:firstLine="540"/>
        <w:jc w:val="both"/>
      </w:pPr>
      <w:r>
        <w:rPr>
          <w:sz w:val="20"/>
        </w:rPr>
        <w:t xml:space="preserve">фамилия, имя и отчество (при наличии) должностного лица, составившего акт;</w:t>
      </w:r>
    </w:p>
    <w:p>
      <w:pPr>
        <w:pStyle w:val="0"/>
        <w:spacing w:before="200" w:line-rule="auto"/>
        <w:ind w:firstLine="540"/>
        <w:jc w:val="both"/>
      </w:pPr>
      <w:r>
        <w:rPr>
          <w:sz w:val="20"/>
        </w:rPr>
        <w:t xml:space="preserve">фамилии, имена и отчества (при наличии) присутствующих при составлении акта лиц;</w:t>
      </w:r>
    </w:p>
    <w:p>
      <w:pPr>
        <w:pStyle w:val="0"/>
        <w:spacing w:before="200" w:line-rule="auto"/>
        <w:ind w:firstLine="540"/>
        <w:jc w:val="both"/>
      </w:pPr>
      <w:r>
        <w:rPr>
          <w:sz w:val="20"/>
        </w:rPr>
        <w:t xml:space="preserve">дата, время и место обнаружения лесного пожара, расстояние от ближайшего населенного пункта или дороги, реки, на лесосеке или на месте работы предприятия, организации;</w:t>
      </w:r>
    </w:p>
    <w:p>
      <w:pPr>
        <w:pStyle w:val="0"/>
        <w:spacing w:before="200" w:line-rule="auto"/>
        <w:ind w:firstLine="540"/>
        <w:jc w:val="both"/>
      </w:pPr>
      <w:r>
        <w:rPr>
          <w:sz w:val="20"/>
        </w:rPr>
        <w:t xml:space="preserve">кем обнаружен лесной пожар, с помощью каких средств (если пожар был обнаружен работником лесопожарной организации);</w:t>
      </w:r>
    </w:p>
    <w:p>
      <w:pPr>
        <w:pStyle w:val="0"/>
        <w:spacing w:before="200" w:line-rule="auto"/>
        <w:ind w:firstLine="540"/>
        <w:jc w:val="both"/>
      </w:pPr>
      <w:r>
        <w:rPr>
          <w:sz w:val="20"/>
        </w:rPr>
        <w:t xml:space="preserve">общая площадь лесного пожара в момент обнаружения в гектарах (с точностью до 0,01);</w:t>
      </w:r>
    </w:p>
    <w:p>
      <w:pPr>
        <w:pStyle w:val="0"/>
        <w:spacing w:before="200" w:line-rule="auto"/>
        <w:ind w:firstLine="540"/>
        <w:jc w:val="both"/>
      </w:pPr>
      <w:r>
        <w:rPr>
          <w:sz w:val="20"/>
        </w:rPr>
        <w:t xml:space="preserve">дата и время получения сообщения или донесения о лесном пожаре и кем оно получено (специализированной диспетчерской службой или лесничеством, подразделениями пожарной охраны);</w:t>
      </w:r>
    </w:p>
    <w:p>
      <w:pPr>
        <w:pStyle w:val="0"/>
        <w:spacing w:before="200" w:line-rule="auto"/>
        <w:ind w:firstLine="540"/>
        <w:jc w:val="both"/>
      </w:pPr>
      <w:r>
        <w:rPr>
          <w:sz w:val="20"/>
        </w:rPr>
        <w:t xml:space="preserve">что обнаружено на месте возникновения лесного пожара (остатки костра, признаки проведения неконтролируемого поджога травы в целях ведения сельского хозяйства или из иных побуждений, признаки перехода огня от транспортных путей, перехода огня с сопредельных территорий, не отнесенных к землях лесного фонда, случаи неосторожного обращения с огнем, перехода огня от участка, где проводились огневые работы в ходе профилактического контролируемого противопожарного выжигания растительных горючих материалов, признаки загорания от удара молнии и так далее), что может способствовать установлению причин пожара. Если имело место нарушение правил пожарной безопасности в лесах, указать предполагаемый вид нарушения и предполагаемое время его совершения;</w:t>
      </w:r>
    </w:p>
    <w:p>
      <w:pPr>
        <w:pStyle w:val="0"/>
        <w:spacing w:before="200" w:line-rule="auto"/>
        <w:ind w:firstLine="540"/>
        <w:jc w:val="both"/>
      </w:pPr>
      <w:r>
        <w:rPr>
          <w:sz w:val="20"/>
        </w:rPr>
        <w:t xml:space="preserve">лица, причастные к возникновению лесного пожара (указать фамилию, имя, отчество (при наличии), место работы, должность и место жительства). В тех случаях, когда указанные лица не установлены, указываются предварительные данные, свидетельствующие о причинах возникновения пожара и лицах, причастных к его возникновению;</w:t>
      </w:r>
    </w:p>
    <w:p>
      <w:pPr>
        <w:pStyle w:val="0"/>
        <w:spacing w:before="200" w:line-rule="auto"/>
        <w:ind w:firstLine="540"/>
        <w:jc w:val="both"/>
      </w:pPr>
      <w:r>
        <w:rPr>
          <w:sz w:val="20"/>
        </w:rPr>
        <w:t xml:space="preserve">дата и время начала тушения пожара;</w:t>
      </w:r>
    </w:p>
    <w:p>
      <w:pPr>
        <w:pStyle w:val="0"/>
        <w:spacing w:before="200" w:line-rule="auto"/>
        <w:ind w:firstLine="540"/>
        <w:jc w:val="both"/>
      </w:pPr>
      <w:r>
        <w:rPr>
          <w:sz w:val="20"/>
        </w:rPr>
        <w:t xml:space="preserve">площадь лесного пожара, пройденная огнем (всего, а также по видам пожара, по видам целевого назначения лесов, категориям земель, доля покрытой и непокрытой лесом площади) в гектарах с точностью до 0,01 на момент ликвидации (при этом учитывается вся площадь пожарища как единой замкнутой геометрической фигуры, за исключением площади участков, не пройденных огнем);</w:t>
      </w:r>
    </w:p>
    <w:p>
      <w:pPr>
        <w:pStyle w:val="0"/>
        <w:spacing w:before="200" w:line-rule="auto"/>
        <w:ind w:firstLine="540"/>
        <w:jc w:val="both"/>
      </w:pPr>
      <w:r>
        <w:rPr>
          <w:sz w:val="20"/>
        </w:rPr>
        <w:t xml:space="preserve">дата и время локализации пожара с указанием, какими силами локализован, их численность и состав;</w:t>
      </w:r>
    </w:p>
    <w:p>
      <w:pPr>
        <w:pStyle w:val="0"/>
        <w:spacing w:before="200" w:line-rule="auto"/>
        <w:ind w:firstLine="540"/>
        <w:jc w:val="both"/>
      </w:pPr>
      <w:r>
        <w:rPr>
          <w:sz w:val="20"/>
        </w:rPr>
        <w:t xml:space="preserve">дата и время ликвидации пожара с указанием, какими силами ликвидирован, их численность и состав;</w:t>
      </w:r>
    </w:p>
    <w:p>
      <w:pPr>
        <w:pStyle w:val="0"/>
        <w:spacing w:before="200" w:line-rule="auto"/>
        <w:ind w:firstLine="540"/>
        <w:jc w:val="both"/>
      </w:pPr>
      <w:r>
        <w:rPr>
          <w:sz w:val="20"/>
        </w:rPr>
        <w:t xml:space="preserve">затраты на выполнение работ, связанных с тушением лесного пожара (в том числе доставка людей, сил и средств пожаротушения к месту тушения пожара и обратно, объемы трудозатрат работников и специалистов лесопожарных формирований и привлеченных лиц, объемы применения пожарной и специализированной автотракторной, наземной, водной и авиационной техники, оборудования, затраты, связанные с расходованием специальных средств, материалов, по обеспечению питанием и питьевой водой, привлечение услуг сторонних организаций для проведения и обеспечения работ по тушению, поиск и эвакуация лиц, пострадавших от пожара);</w:t>
      </w:r>
    </w:p>
    <w:p>
      <w:pPr>
        <w:pStyle w:val="0"/>
        <w:spacing w:before="200" w:line-rule="auto"/>
        <w:ind w:firstLine="540"/>
        <w:jc w:val="both"/>
      </w:pPr>
      <w:r>
        <w:rPr>
          <w:sz w:val="20"/>
        </w:rPr>
        <w:t xml:space="preserve">применявшиеся методы, способы и средства тушения пожара;</w:t>
      </w:r>
    </w:p>
    <w:p>
      <w:pPr>
        <w:pStyle w:val="0"/>
        <w:spacing w:before="200" w:line-rule="auto"/>
        <w:ind w:firstLine="540"/>
        <w:jc w:val="both"/>
      </w:pPr>
      <w:r>
        <w:rPr>
          <w:sz w:val="20"/>
        </w:rPr>
        <w:t xml:space="preserve">принятые меры к окарауливанию пожара;</w:t>
      </w:r>
    </w:p>
    <w:p>
      <w:pPr>
        <w:pStyle w:val="0"/>
        <w:spacing w:before="200" w:line-rule="auto"/>
        <w:ind w:firstLine="540"/>
        <w:jc w:val="both"/>
      </w:pPr>
      <w:r>
        <w:rPr>
          <w:sz w:val="20"/>
        </w:rPr>
        <w:t xml:space="preserve">предварительная оценка потерь в результате лесного пожара в естественных и стоимостных характеристиках (древесины на корню, заготовленной лесопродукции, зданий, сооружений, машин, оборудования и другого имущества, стоимость работ по очистке территории, стоимость лесовосстановительных работ, стоимость работ по тушению лесного пожара, общая предварительная сумма ущерба);</w:t>
      </w:r>
    </w:p>
    <w:p>
      <w:pPr>
        <w:pStyle w:val="0"/>
        <w:spacing w:before="200" w:line-rule="auto"/>
        <w:ind w:firstLine="540"/>
        <w:jc w:val="both"/>
      </w:pPr>
      <w:r>
        <w:rPr>
          <w:sz w:val="20"/>
        </w:rPr>
        <w:t xml:space="preserve">должность, фамилия, имя и отчество (при наличии) лица, руководившего тушением пожара;</w:t>
      </w:r>
    </w:p>
    <w:p>
      <w:pPr>
        <w:pStyle w:val="0"/>
        <w:spacing w:before="200" w:line-rule="auto"/>
        <w:ind w:firstLine="540"/>
        <w:jc w:val="both"/>
      </w:pPr>
      <w:r>
        <w:rPr>
          <w:sz w:val="20"/>
        </w:rPr>
        <w:t xml:space="preserve">перечень документов, прилагаемых к акту, включая схематический план пройденной огнем площади, расчеты и обоснования размеров предварительного ущерба от потерь древесины на корню, уничтожения огнем культур, молодняков, напочвенного покрова, ценных свойств природных комплексов, от потерь готовой продукции, стоимости работ по очистке территории, расходов на тушение пожара;</w:t>
      </w:r>
    </w:p>
    <w:p>
      <w:pPr>
        <w:pStyle w:val="0"/>
        <w:spacing w:before="200" w:line-rule="auto"/>
        <w:ind w:firstLine="540"/>
        <w:jc w:val="both"/>
      </w:pPr>
      <w:r>
        <w:rPr>
          <w:sz w:val="20"/>
        </w:rPr>
        <w:t xml:space="preserve">должность, место работы, фамилия, имя, отчество (при наличии) и подпись лица, составившего акт;</w:t>
      </w:r>
    </w:p>
    <w:p>
      <w:pPr>
        <w:pStyle w:val="0"/>
        <w:spacing w:before="200" w:line-rule="auto"/>
        <w:ind w:firstLine="540"/>
        <w:jc w:val="both"/>
      </w:pPr>
      <w:r>
        <w:rPr>
          <w:sz w:val="20"/>
        </w:rPr>
        <w:t xml:space="preserve">объем и породный состав вырубаемой древесины при создании противопожарных барьеров и временных посадочных площадок для вертолета, при проведении операций по доставке тяжелой техники к пожару в условиях отсутствия транспортного пути.</w:t>
      </w:r>
    </w:p>
    <w:p>
      <w:pPr>
        <w:pStyle w:val="0"/>
        <w:spacing w:before="200" w:line-rule="auto"/>
        <w:ind w:firstLine="540"/>
        <w:jc w:val="both"/>
      </w:pPr>
      <w:r>
        <w:rPr>
          <w:sz w:val="20"/>
        </w:rPr>
        <w:t xml:space="preserve">74. К акту прилагается схематический план пройденной огнем площади. Съемка контура лесного пожара и участков внутри него, пройденных пожарами разного вида (верховыми, низовыми, почвенными), с привязкой их к ориентирам производится:</w:t>
      </w:r>
    </w:p>
    <w:p>
      <w:pPr>
        <w:pStyle w:val="0"/>
        <w:spacing w:before="200" w:line-rule="auto"/>
        <w:ind w:firstLine="540"/>
        <w:jc w:val="both"/>
      </w:pPr>
      <w:r>
        <w:rPr>
          <w:sz w:val="20"/>
        </w:rPr>
        <w:t xml:space="preserve">а) в районах применения наземных сил и средств пожаротушения - инструментально;</w:t>
      </w:r>
    </w:p>
    <w:p>
      <w:pPr>
        <w:pStyle w:val="0"/>
        <w:spacing w:before="200" w:line-rule="auto"/>
        <w:ind w:firstLine="540"/>
        <w:jc w:val="both"/>
      </w:pPr>
      <w:r>
        <w:rPr>
          <w:sz w:val="20"/>
        </w:rPr>
        <w:t xml:space="preserve">б) в районах применения авиационных сил и средств пожаротушения - аэровизуально с использованием лесопожарной и (или) патрульной карты, геоинформационных систем.</w:t>
      </w:r>
    </w:p>
    <w:p>
      <w:pPr>
        <w:pStyle w:val="0"/>
        <w:spacing w:before="200" w:line-rule="auto"/>
        <w:ind w:firstLine="540"/>
        <w:jc w:val="both"/>
      </w:pPr>
      <w:r>
        <w:rPr>
          <w:sz w:val="20"/>
        </w:rPr>
        <w:t xml:space="preserve">75. К акту также прилагается докладная записка руководителя тушения лесного пожара о ходе тушения лесного пожара, применявшихся методах, способах и средствах тушения пожара, их эффективности (представляется только в случаях крупных лесных пожаров). Срок хранения акта составляет 25 лет.</w:t>
      </w:r>
    </w:p>
    <w:p>
      <w:pPr>
        <w:pStyle w:val="0"/>
        <w:spacing w:before="200" w:line-rule="auto"/>
        <w:ind w:firstLine="540"/>
        <w:jc w:val="both"/>
      </w:pPr>
      <w:r>
        <w:rPr>
          <w:sz w:val="20"/>
        </w:rPr>
        <w:t xml:space="preserve">В случае если сведения о лесном пожаре, ранее направленные в специализированную диспетчерскую службу Федерального агентства лесного хозяйства, не соответствуют сведениям, указанным в акте, специализированная диспетчерская служба органа исполнительной власти субъекта Российской Федерации, уполномоченного в области лесных отношений, в течение суток с момента поступления соответствующего акта направляет уточненные сведения в специализированную диспетчерскую службу Федерального агентства лесного хозяйства.</w:t>
      </w:r>
    </w:p>
    <w:p>
      <w:pPr>
        <w:pStyle w:val="0"/>
        <w:jc w:val="both"/>
      </w:pPr>
      <w:r>
        <w:rPr>
          <w:sz w:val="20"/>
        </w:rPr>
      </w:r>
    </w:p>
    <w:p>
      <w:pPr>
        <w:pStyle w:val="2"/>
        <w:outlineLvl w:val="1"/>
        <w:jc w:val="center"/>
      </w:pPr>
      <w:r>
        <w:rPr>
          <w:sz w:val="20"/>
        </w:rPr>
        <w:t xml:space="preserve">IV. Особенности тушения лесных пожаров</w:t>
      </w:r>
    </w:p>
    <w:p>
      <w:pPr>
        <w:pStyle w:val="0"/>
        <w:jc w:val="both"/>
      </w:pPr>
      <w:r>
        <w:rPr>
          <w:sz w:val="20"/>
        </w:rPr>
      </w:r>
    </w:p>
    <w:p>
      <w:pPr>
        <w:pStyle w:val="0"/>
        <w:ind w:firstLine="540"/>
        <w:jc w:val="both"/>
      </w:pPr>
      <w:r>
        <w:rPr>
          <w:sz w:val="20"/>
        </w:rPr>
        <w:t xml:space="preserve">76. В темное время суток работы по тушению лесных пожаров на землях лесного фонда производятся при условии наличия искусственного освещения, обеспечивающего безопасные условия выполнения работ, на основании решения руководителя тушения лесного пожара. Темным временем суток принимается промежуток от захода до восхода солнца, включая один час сумерек (полчаса утром до восхода солнца и полчаса вечером после захода солнца).</w:t>
      </w:r>
    </w:p>
    <w:p>
      <w:pPr>
        <w:pStyle w:val="0"/>
        <w:spacing w:before="200" w:line-rule="auto"/>
        <w:ind w:firstLine="540"/>
        <w:jc w:val="both"/>
      </w:pPr>
      <w:r>
        <w:rPr>
          <w:sz w:val="20"/>
        </w:rPr>
        <w:t xml:space="preserve">77. При тушении лесных пожаров, возникающих на территориях, где имеется опасность взрывов боеприпасов и взрывчатых материалов, отравления токсическими веществами, в случаях отсутствия на указанных территориях безопасных условий работ для работников, осуществляющих тушение пожара (ограничение его распространения), тушение производится за пределами опасных зон. Тушение лесных пожаров на территории, на которой находятся взрывоопасные предметы, производится косвенным методом, создание заградительной полосы осуществляется растворами огнетушащих (огнезадерживающих) веществ, применение землеройной техники допускается после предварительной очистки полосы земли от взрывоопасных предметов.</w:t>
      </w:r>
    </w:p>
    <w:p>
      <w:pPr>
        <w:pStyle w:val="0"/>
        <w:spacing w:before="200" w:line-rule="auto"/>
        <w:ind w:firstLine="540"/>
        <w:jc w:val="both"/>
      </w:pPr>
      <w:r>
        <w:rPr>
          <w:sz w:val="20"/>
        </w:rPr>
        <w:t xml:space="preserve">78. При тушении лесных пожаров, возникающих на территориях, загрязненных радионуклидами, приоритетными задачами являются сохранение жизни и здоровья людей, выполняющих работы по тушению, и предотвращение распространения радионуклидов на сопредельные территории.</w:t>
      </w:r>
    </w:p>
    <w:p>
      <w:pPr>
        <w:pStyle w:val="0"/>
        <w:spacing w:before="200" w:line-rule="auto"/>
        <w:ind w:firstLine="540"/>
        <w:jc w:val="both"/>
      </w:pPr>
      <w:r>
        <w:rPr>
          <w:sz w:val="20"/>
        </w:rPr>
        <w:t xml:space="preserve">79. Особенности тушения лесных пожаров разделяются по зонам радиоактивного загрязнения.</w:t>
      </w:r>
    </w:p>
    <w:bookmarkStart w:id="269" w:name="P269"/>
    <w:bookmarkEnd w:id="269"/>
    <w:p>
      <w:pPr>
        <w:pStyle w:val="0"/>
        <w:spacing w:before="200" w:line-rule="auto"/>
        <w:ind w:firstLine="540"/>
        <w:jc w:val="both"/>
      </w:pPr>
      <w:r>
        <w:rPr>
          <w:sz w:val="20"/>
        </w:rPr>
        <w:t xml:space="preserve">80. В зоне с плотностью загрязнения почвы цезием-137 от 1 до 5 Ки/км (37 - 185 кБк/м) и стронцием-90 - от 0,15 до 1 Ки/км (5,55 - 37 кБк/м):</w:t>
      </w:r>
    </w:p>
    <w:p>
      <w:pPr>
        <w:pStyle w:val="0"/>
        <w:spacing w:before="200" w:line-rule="auto"/>
        <w:ind w:firstLine="540"/>
        <w:jc w:val="both"/>
      </w:pPr>
      <w:r>
        <w:rPr>
          <w:sz w:val="20"/>
        </w:rPr>
        <w:t xml:space="preserve">а) тушение лесных пожаров проводится преимущественно аналогичными способами как на незагрязненных территориях с принятием дополнительных мер по защите работников, осуществляющих работы по тушению, от вредного воздействия пыли и продуктов горения лесных горючих материалов;</w:t>
      </w:r>
    </w:p>
    <w:p>
      <w:pPr>
        <w:pStyle w:val="0"/>
        <w:spacing w:before="200" w:line-rule="auto"/>
        <w:ind w:firstLine="540"/>
        <w:jc w:val="both"/>
      </w:pPr>
      <w:r>
        <w:rPr>
          <w:sz w:val="20"/>
        </w:rPr>
        <w:t xml:space="preserve">б) тушение горящей кромки лесных пожаров проводится наземными и (или) авиационными средствами при помощи воды и растворов огнетушащих веществ, а также путем создания перед кромкой пожара заградительных полос посредством нанесения (сброса, слива) огнезащитных и огнезадерживающих растворов с использованием наземных и (или) авиационных средств.</w:t>
      </w:r>
    </w:p>
    <w:p>
      <w:pPr>
        <w:pStyle w:val="0"/>
        <w:spacing w:before="200" w:line-rule="auto"/>
        <w:ind w:firstLine="540"/>
        <w:jc w:val="both"/>
      </w:pPr>
      <w:r>
        <w:rPr>
          <w:sz w:val="20"/>
        </w:rPr>
        <w:t xml:space="preserve">81. В зоне с плотностью загрязнения почвы цезием-137 от 5 до 15 Ки/км (185 - 555 кБк/м):</w:t>
      </w:r>
    </w:p>
    <w:p>
      <w:pPr>
        <w:pStyle w:val="0"/>
        <w:spacing w:before="200" w:line-rule="auto"/>
        <w:ind w:firstLine="540"/>
        <w:jc w:val="both"/>
      </w:pPr>
      <w:r>
        <w:rPr>
          <w:sz w:val="20"/>
        </w:rPr>
        <w:t xml:space="preserve">а) остановка и тушение лесных пожаров проводятся без выполнения работ на кромке пожара путем создания заградительных и опорных химических полос при помощи наземных механизмов, а также с использованием вертолетов с водосливными устройствами и самолетов-танкеров;</w:t>
      </w:r>
    </w:p>
    <w:p>
      <w:pPr>
        <w:pStyle w:val="0"/>
        <w:spacing w:before="200" w:line-rule="auto"/>
        <w:ind w:firstLine="540"/>
        <w:jc w:val="both"/>
      </w:pPr>
      <w:r>
        <w:rPr>
          <w:sz w:val="20"/>
        </w:rPr>
        <w:t xml:space="preserve">б) дотушивание лесных пожаров проводится с использованием пожарных автоцистерн с установленными пожарными лафетными стволами, а также с использованием пожарных мотопомп.</w:t>
      </w:r>
    </w:p>
    <w:bookmarkStart w:id="275" w:name="P275"/>
    <w:bookmarkEnd w:id="275"/>
    <w:p>
      <w:pPr>
        <w:pStyle w:val="0"/>
        <w:spacing w:before="200" w:line-rule="auto"/>
        <w:ind w:firstLine="540"/>
        <w:jc w:val="both"/>
      </w:pPr>
      <w:r>
        <w:rPr>
          <w:sz w:val="20"/>
        </w:rPr>
        <w:t xml:space="preserve">82. В зонах с плотностью загрязнения почвы цезием-137 от 15 до 40 Ки/км (555 - 1480 кБк/м) и более 40 Ки/км (1480 кБк/м):</w:t>
      </w:r>
    </w:p>
    <w:p>
      <w:pPr>
        <w:pStyle w:val="0"/>
        <w:spacing w:before="200" w:line-rule="auto"/>
        <w:ind w:firstLine="540"/>
        <w:jc w:val="both"/>
      </w:pPr>
      <w:r>
        <w:rPr>
          <w:sz w:val="20"/>
        </w:rPr>
        <w:t xml:space="preserve">а) остановка и тушение лесного пожара проводятся в соответствии со специально разработанными для условий радиоактивного загрязнения регламентирующими документами, в которых учтены требования радиационной безопасности при тушении радиоактивного лесного пожара;</w:t>
      </w:r>
    </w:p>
    <w:p>
      <w:pPr>
        <w:pStyle w:val="0"/>
        <w:spacing w:before="200" w:line-rule="auto"/>
        <w:ind w:firstLine="540"/>
        <w:jc w:val="both"/>
      </w:pPr>
      <w:r>
        <w:rPr>
          <w:sz w:val="20"/>
        </w:rPr>
        <w:t xml:space="preserve">б) остановка и тушение лесного пожара проводятся вертолетами с водосливными устройствами и самолетами-танкерами;</w:t>
      </w:r>
    </w:p>
    <w:p>
      <w:pPr>
        <w:pStyle w:val="0"/>
        <w:spacing w:before="200" w:line-rule="auto"/>
        <w:ind w:firstLine="540"/>
        <w:jc w:val="both"/>
      </w:pPr>
      <w:r>
        <w:rPr>
          <w:sz w:val="20"/>
        </w:rPr>
        <w:t xml:space="preserve">в) окончательная локализация и дотушивание лесных пожаров проводятся наземными силами и средствами пожаротушения, при этом используют автоцистерны с установленными пожарными лафетными стволами и пожарные вездеходы на базе специальной (военной) техники, обеспечивающей повышенный уровень защиты работников, а для дотушивания пожаров - пожарные мотопомпы.</w:t>
      </w:r>
    </w:p>
    <w:p>
      <w:pPr>
        <w:pStyle w:val="0"/>
        <w:spacing w:before="200" w:line-rule="auto"/>
        <w:ind w:firstLine="540"/>
        <w:jc w:val="both"/>
      </w:pPr>
      <w:r>
        <w:rPr>
          <w:sz w:val="20"/>
        </w:rPr>
        <w:t xml:space="preserve">83. На территориях, указанных в </w:t>
      </w:r>
      <w:hyperlink w:history="0" w:anchor="P269" w:tooltip="80. В зоне с плотностью загрязнения почвы цезием-137 от 1 до 5 Ки/км (37 - 185 кБк/м) и стронцием-90 - от 0,15 до 1 Ки/км (5,55 - 37 кБк/м):">
        <w:r>
          <w:rPr>
            <w:sz w:val="20"/>
            <w:color w:val="0000ff"/>
          </w:rPr>
          <w:t xml:space="preserve">пунктах 80</w:t>
        </w:r>
      </w:hyperlink>
      <w:r>
        <w:rPr>
          <w:sz w:val="20"/>
        </w:rPr>
        <w:t xml:space="preserve"> - </w:t>
      </w:r>
      <w:hyperlink w:history="0" w:anchor="P275" w:tooltip="82. В зонах с плотностью загрязнения почвы цезием-137 от 15 до 40 Ки/км (555 - 1480 кБк/м) и более 40 Ки/км (1480 кБк/м):">
        <w:r>
          <w:rPr>
            <w:sz w:val="20"/>
            <w:color w:val="0000ff"/>
          </w:rPr>
          <w:t xml:space="preserve">82</w:t>
        </w:r>
      </w:hyperlink>
      <w:r>
        <w:rPr>
          <w:sz w:val="20"/>
        </w:rPr>
        <w:t xml:space="preserve"> настоящих Правил, при тушении лесного пожара работники обеспечиваются средствами индивидуальной защиты - респираторами, противогазами, средствами защиты органов зрения, рук, головы, закрытой резиновой обувью (спецобувью), спецодеждой и индивидуальными дозиметрами-накопителями.</w:t>
      </w:r>
    </w:p>
    <w:p>
      <w:pPr>
        <w:pStyle w:val="0"/>
        <w:spacing w:before="200" w:line-rule="auto"/>
        <w:ind w:firstLine="540"/>
        <w:jc w:val="both"/>
      </w:pPr>
      <w:r>
        <w:rPr>
          <w:sz w:val="20"/>
        </w:rPr>
        <w:t xml:space="preserve">На тушение лесных пожаров в загрязненных радионуклидами лесах направляются лица, прошедшие специальную подготовку и медицинское обследование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5" w:tooltip="Федеральный закон от 09.01.1996 N 3-ФЗ (ред. от 18.03.2023) &quot;О радиационной безопасности населения&quot; {КонсультантПлюс}">
        <w:r>
          <w:rPr>
            <w:sz w:val="20"/>
            <w:color w:val="0000ff"/>
          </w:rPr>
          <w:t xml:space="preserve">Статья 14</w:t>
        </w:r>
      </w:hyperlink>
      <w:r>
        <w:rPr>
          <w:sz w:val="20"/>
        </w:rPr>
        <w:t xml:space="preserve"> Федерального закона от 9 января 1996 г. N 3-ФЗ "О радиационной безопасности населения" (Собрание законодательства Российской Федерации, 1996, N 3, ст. 141; 2011, N 30, ст. 4590).</w:t>
      </w:r>
    </w:p>
    <w:p>
      <w:pPr>
        <w:pStyle w:val="0"/>
        <w:jc w:val="both"/>
      </w:pPr>
      <w:r>
        <w:rPr>
          <w:sz w:val="20"/>
        </w:rPr>
      </w:r>
    </w:p>
    <w:p>
      <w:pPr>
        <w:pStyle w:val="0"/>
        <w:ind w:firstLine="540"/>
        <w:jc w:val="both"/>
      </w:pPr>
      <w:r>
        <w:rPr>
          <w:sz w:val="20"/>
        </w:rPr>
        <w:t xml:space="preserve">Обеспечение работников средствами индивидуальной защиты должно соответствовать нормам и требованиям санитарных правил </w:t>
      </w:r>
      <w:hyperlink w:history="0" r:id="rId26" w:tooltip="Постановление Главного государственного санитарного врача РФ от 07.07.2009 N 47 &quot;Об утверждении СанПиН 2.6.1.2523-09&quot; (вместе с &quot;НРБ-99/2009. СанПиН 2.6.1.2523-09. Нормы радиационной безопасности. Санитарные правила и нормативы&quot;) (Зарегистрировано в Минюсте РФ 14.08.2009 N 14534) {КонсультантПлюс}">
        <w:r>
          <w:rPr>
            <w:sz w:val="20"/>
            <w:color w:val="0000ff"/>
          </w:rPr>
          <w:t xml:space="preserve">СанПиН 2.6.1.2523-09</w:t>
        </w:r>
      </w:hyperlink>
      <w:r>
        <w:rPr>
          <w:sz w:val="20"/>
        </w:rPr>
        <w:t xml:space="preserve"> "Нормы радиационной безопасности (НРБ-99/2009)", утвержденным постановлением Главного государственного санитарного врача Российской Федерации от 7 июля 2009 г. N 47 (зарегистрировано Министерством юстиции Российской Федерации 14 августа 2009 г., регистрационный N 14534) (далее - СанПиН 2.6.1.2523-09), </w:t>
      </w:r>
      <w:hyperlink w:history="0" r:id="rId27" w:tooltip="Постановление Главного государственного санитарного врача РФ от 26.04.2010 N 40 (ред. от 16.09.2013) &quot;Об утверждении СП 2.6.1.2612-10 &quot;Основные санитарные правила обеспечения радиационной безопасности (ОСПОРБ-99/2010)&quot; (вместе с &quot;СП 2.6.1.2612-10. ОСПОРБ-99/2010. Санитарные правила и нормативы...&quot;) (Зарегистрировано в Минюсте России 11.08.2010 N 18115) {КонсультантПлюс}">
        <w:r>
          <w:rPr>
            <w:sz w:val="20"/>
            <w:color w:val="0000ff"/>
          </w:rPr>
          <w:t xml:space="preserve">СП 2.6.1.2612-10</w:t>
        </w:r>
      </w:hyperlink>
      <w:r>
        <w:rPr>
          <w:sz w:val="20"/>
        </w:rPr>
        <w:t xml:space="preserve"> "Основные санитарные правила обеспечения радиационной безопасности (ОСПОРБ-99/2010)", утвержденным постановлением Главного государственного санитарного врача Российской Федерации от 26 апреля 2010 г. N 40 (зарегистрировано Министерством юстиции Российской Федерации 11 августа 2010 г., регистрационный N 18115), с изменениями, внесенными постановлением Главного государственного санитарного врача Российской Федерации от 16 сентября 2013 г. N 43 (зарегистрировано Министерством юстиции Российской Федерации 5 ноября 2013 г., регистрационный N 30309).</w:t>
      </w:r>
    </w:p>
    <w:p>
      <w:pPr>
        <w:pStyle w:val="0"/>
        <w:spacing w:before="200" w:line-rule="auto"/>
        <w:ind w:firstLine="540"/>
        <w:jc w:val="both"/>
      </w:pPr>
      <w:r>
        <w:rPr>
          <w:sz w:val="20"/>
        </w:rPr>
        <w:t xml:space="preserve">При высоких уровнях мощности эквивалентной дозы ионизирующего излучения время работы сокращается в соответствии с требованиями </w:t>
      </w:r>
      <w:hyperlink w:history="0" r:id="rId28" w:tooltip="Постановление Главного государственного санитарного врача РФ от 07.07.2009 N 47 &quot;Об утверждении СанПиН 2.6.1.2523-09&quot; (вместе с &quot;НРБ-99/2009. СанПиН 2.6.1.2523-09. Нормы радиационной безопасности. Санитарные правила и нормативы&quot;) (Зарегистрировано в Минюсте РФ 14.08.2009 N 14534) {КонсультантПлюс}">
        <w:r>
          <w:rPr>
            <w:sz w:val="20"/>
            <w:color w:val="0000ff"/>
          </w:rPr>
          <w:t xml:space="preserve">СанПиН 2.6.1.2523-09</w:t>
        </w:r>
      </w:hyperlink>
      <w:r>
        <w:rPr>
          <w:sz w:val="20"/>
        </w:rPr>
        <w:t xml:space="preserve">, устанавливающих пределы доз.</w:t>
      </w:r>
    </w:p>
    <w:p>
      <w:pPr>
        <w:pStyle w:val="0"/>
        <w:spacing w:before="200" w:line-rule="auto"/>
        <w:ind w:firstLine="540"/>
        <w:jc w:val="both"/>
      </w:pPr>
      <w:r>
        <w:rPr>
          <w:sz w:val="20"/>
        </w:rPr>
        <w:t xml:space="preserve">В целях обеспечения радиационной безопасности лиц, работающих на тушении лесных пожаров, проводится обеспечение персонала достоверной и полной информацией о радиационной обстановке в лесах, в том числе на территории, где осуществляются работы по тушению пожаров.</w:t>
      </w:r>
    </w:p>
    <w:p>
      <w:pPr>
        <w:pStyle w:val="0"/>
        <w:spacing w:before="200" w:line-rule="auto"/>
        <w:ind w:firstLine="540"/>
        <w:jc w:val="both"/>
      </w:pPr>
      <w:r>
        <w:rPr>
          <w:sz w:val="20"/>
        </w:rPr>
        <w:t xml:space="preserve">84. При тушении почвенных (торфяных) лесных пожаров производятся их опашка и (или) окопка, перемешивание слоев, создание минерализованных полос, противопожарных канав, тушение водой и огнетушащими растворами, а также применение мощных струй воды с помощью насосных установок и высоконапорных мотопомп, регулирование уровня воды путем создания временных плотин.</w:t>
      </w:r>
    </w:p>
    <w:p>
      <w:pPr>
        <w:pStyle w:val="0"/>
        <w:spacing w:before="200" w:line-rule="auto"/>
        <w:ind w:firstLine="540"/>
        <w:jc w:val="both"/>
      </w:pPr>
      <w:r>
        <w:rPr>
          <w:sz w:val="20"/>
        </w:rPr>
        <w:t xml:space="preserve">В случаях многоочаговых торфяных пожаров, возникающих на торфянистых почвах в результате низового лесного пожара, тушение производится путем локализации всей площади, на которой находятся очаги горения. После ликвидации почвенного (торфяного) пожара площадь, пройденную огнем, необходимо периодически (не реже одного раза в сутки) осматривать до выпадения интенсивных осадков.</w:t>
      </w:r>
    </w:p>
    <w:p>
      <w:pPr>
        <w:pStyle w:val="0"/>
        <w:spacing w:before="200" w:line-rule="auto"/>
        <w:ind w:firstLine="540"/>
        <w:jc w:val="both"/>
      </w:pPr>
      <w:r>
        <w:rPr>
          <w:sz w:val="20"/>
        </w:rPr>
        <w:t xml:space="preserve">При тушении торфяных и иных почвенных пожаров решение о необходимости создания временных водоисточников вблизи пожара, а также решение о проведении мероприятий по удержанию воды в осушительных каналах путем создания временных некапитальных перемычек (плотин), препятствующих стоку воды, с целью подтопления очагов горения, повышения уровня грунтовой воды на горящем участке и на примыкающих к нему территориях, а также с целью создания водоисточников, пригодных для тушения пожара, принимает руководитель тушения лесного пожара.</w:t>
      </w:r>
    </w:p>
    <w:p>
      <w:pPr>
        <w:pStyle w:val="0"/>
        <w:spacing w:before="200" w:line-rule="auto"/>
        <w:ind w:firstLine="540"/>
        <w:jc w:val="both"/>
      </w:pPr>
      <w:r>
        <w:rPr>
          <w:sz w:val="20"/>
        </w:rPr>
        <w:t xml:space="preserve">85. В целях тушения лесных пожаров осуществляются мероприятия по искусственному вызыванию осадков.</w:t>
      </w:r>
    </w:p>
    <w:p>
      <w:pPr>
        <w:pStyle w:val="0"/>
        <w:spacing w:before="200" w:line-rule="auto"/>
        <w:ind w:firstLine="540"/>
        <w:jc w:val="both"/>
      </w:pPr>
      <w:r>
        <w:rPr>
          <w:sz w:val="20"/>
        </w:rPr>
        <w:t xml:space="preserve">86. Решение об осуществлении мероприятий по искусственному вызыванию осадков принимает федеральный штаб по координации деятельности по тушению лесных пожаров по согласованию с органами государственной власти субъектов Российской Федерации в области лесных отношений.</w:t>
      </w:r>
    </w:p>
    <w:p>
      <w:pPr>
        <w:pStyle w:val="0"/>
        <w:spacing w:before="200" w:line-rule="auto"/>
        <w:ind w:firstLine="540"/>
        <w:jc w:val="both"/>
      </w:pPr>
      <w:r>
        <w:rPr>
          <w:sz w:val="20"/>
        </w:rPr>
        <w:t xml:space="preserve">87. В целях обеспечения безопасности осуществления работ по тушению лесных пожаров используемая лесопожарная техника должна быть оснащена аппаратурой спутниковой навигации ГЛОНАСС или ГЛОНАСС/GPS.</w:t>
      </w:r>
    </w:p>
    <w:p>
      <w:pPr>
        <w:pStyle w:val="0"/>
        <w:spacing w:before="200" w:line-rule="auto"/>
        <w:ind w:firstLine="540"/>
        <w:jc w:val="both"/>
      </w:pPr>
      <w:r>
        <w:rPr>
          <w:sz w:val="20"/>
        </w:rPr>
        <w:t xml:space="preserve">88. Тушение лесных пожаров на землях ООПТ осуществляется с использованием тактики с наименьшим воздействием на природную среду путем минимизации последствий проводимых мероприятий, уменьшения сопутствующего ущерба (вреда) от мероприятий, связанных с организацией тушения.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тушения лесных пожаров,</w:t>
      </w:r>
    </w:p>
    <w:p>
      <w:pPr>
        <w:pStyle w:val="0"/>
        <w:jc w:val="right"/>
      </w:pPr>
      <w:r>
        <w:rPr>
          <w:sz w:val="20"/>
        </w:rPr>
        <w:t xml:space="preserve">утвержденным приказом</w:t>
      </w:r>
    </w:p>
    <w:p>
      <w:pPr>
        <w:pStyle w:val="0"/>
        <w:jc w:val="right"/>
      </w:pPr>
      <w:r>
        <w:rPr>
          <w:sz w:val="20"/>
        </w:rPr>
        <w:t xml:space="preserve">Минприроды России</w:t>
      </w:r>
    </w:p>
    <w:p>
      <w:pPr>
        <w:pStyle w:val="0"/>
        <w:jc w:val="right"/>
      </w:pPr>
      <w:r>
        <w:rPr>
          <w:sz w:val="20"/>
        </w:rPr>
        <w:t xml:space="preserve">от 01.04.2022 N 244</w:t>
      </w:r>
    </w:p>
    <w:p>
      <w:pPr>
        <w:pStyle w:val="0"/>
        <w:jc w:val="both"/>
      </w:pPr>
      <w:r>
        <w:rPr>
          <w:sz w:val="20"/>
        </w:rPr>
      </w:r>
    </w:p>
    <w:p>
      <w:pPr>
        <w:pStyle w:val="2"/>
        <w:jc w:val="center"/>
      </w:pPr>
      <w:r>
        <w:rPr>
          <w:sz w:val="20"/>
        </w:rPr>
        <w:t xml:space="preserve">СИМВОЛЫ</w:t>
      </w:r>
    </w:p>
    <w:p>
      <w:pPr>
        <w:pStyle w:val="2"/>
        <w:jc w:val="center"/>
      </w:pPr>
      <w:r>
        <w:rPr>
          <w:sz w:val="20"/>
        </w:rPr>
        <w:t xml:space="preserve">ДЛЯ ОТОБРАЖЕНИЯ ТАКТИЧЕСКОЙ ОБСТАНОВКИ НА СХЕМЕ ТУШЕНИЯ</w:t>
      </w:r>
    </w:p>
    <w:p>
      <w:pPr>
        <w:pStyle w:val="2"/>
        <w:jc w:val="center"/>
      </w:pPr>
      <w:r>
        <w:rPr>
          <w:sz w:val="20"/>
        </w:rPr>
        <w:t xml:space="preserve">ЛЕСНОГО ПОЖАРА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10"/>
        <w:gridCol w:w="6292"/>
      </w:tblGrid>
      <w:tr>
        <w:tc>
          <w:tcPr>
            <w:tcW w:w="567" w:type="dxa"/>
            <w:vAlign w:val="center"/>
          </w:tcPr>
          <w:p>
            <w:pPr>
              <w:pStyle w:val="0"/>
              <w:jc w:val="center"/>
            </w:pPr>
            <w:r>
              <w:rPr>
                <w:sz w:val="20"/>
              </w:rPr>
              <w:t xml:space="preserve">1.</w:t>
            </w:r>
          </w:p>
        </w:tc>
        <w:tc>
          <w:tcPr>
            <w:tcW w:w="2210" w:type="dxa"/>
          </w:tcPr>
          <w:p>
            <w:pPr>
              <w:pStyle w:val="0"/>
              <w:jc w:val="right"/>
            </w:pPr>
            <w:r>
              <w:rPr>
                <w:position w:val="-21"/>
              </w:rPr>
              <w:drawing>
                <wp:inline distT="0" distB="0" distL="0" distR="0">
                  <wp:extent cx="362585" cy="402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362585" cy="402590"/>
                          </a:xfrm>
                          <a:prstGeom prst="rect">
                            <a:avLst/>
                          </a:prstGeom>
                          <a:noFill/>
                          <a:ln>
                            <a:noFill/>
                          </a:ln>
                        </pic:spPr>
                      </pic:pic>
                    </a:graphicData>
                  </a:graphic>
                </wp:inline>
              </w:drawing>
            </w:r>
          </w:p>
        </w:tc>
        <w:tc>
          <w:tcPr>
            <w:tcW w:w="6292" w:type="dxa"/>
          </w:tcPr>
          <w:p>
            <w:pPr>
              <w:pStyle w:val="0"/>
            </w:pPr>
            <w:r>
              <w:rPr>
                <w:sz w:val="20"/>
              </w:rPr>
              <w:t xml:space="preserve">Руководитель тушения лесного пожара, его место постоянного пребывания (красный) </w:t>
            </w:r>
            <w:hyperlink w:history="0" w:anchor="P612" w:tooltip="&lt;1&gt; При необходимости внутри знака красным цветом указывается номер пожара;">
              <w:r>
                <w:rPr>
                  <w:sz w:val="20"/>
                  <w:color w:val="0000ff"/>
                </w:rPr>
                <w:t xml:space="preserve">&lt;1&gt;</w:t>
              </w:r>
            </w:hyperlink>
          </w:p>
        </w:tc>
      </w:tr>
      <w:tr>
        <w:tc>
          <w:tcPr>
            <w:tcW w:w="567" w:type="dxa"/>
            <w:vAlign w:val="center"/>
          </w:tcPr>
          <w:p>
            <w:pPr>
              <w:pStyle w:val="0"/>
              <w:jc w:val="center"/>
            </w:pPr>
            <w:r>
              <w:rPr>
                <w:sz w:val="20"/>
              </w:rPr>
              <w:t xml:space="preserve">2.</w:t>
            </w:r>
          </w:p>
        </w:tc>
        <w:tc>
          <w:tcPr>
            <w:tcW w:w="2210" w:type="dxa"/>
          </w:tcPr>
          <w:p>
            <w:pPr>
              <w:pStyle w:val="0"/>
              <w:jc w:val="right"/>
            </w:pPr>
            <w:r>
              <w:rPr>
                <w:position w:val="-21"/>
              </w:rPr>
              <w:drawing>
                <wp:inline distT="0" distB="0" distL="0" distR="0">
                  <wp:extent cx="362585" cy="397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362585" cy="397510"/>
                          </a:xfrm>
                          <a:prstGeom prst="rect">
                            <a:avLst/>
                          </a:prstGeom>
                          <a:noFill/>
                          <a:ln>
                            <a:noFill/>
                          </a:ln>
                        </pic:spPr>
                      </pic:pic>
                    </a:graphicData>
                  </a:graphic>
                </wp:inline>
              </w:drawing>
            </w:r>
          </w:p>
        </w:tc>
        <w:tc>
          <w:tcPr>
            <w:tcW w:w="6292" w:type="dxa"/>
          </w:tcPr>
          <w:p>
            <w:pPr>
              <w:pStyle w:val="0"/>
            </w:pPr>
            <w:r>
              <w:rPr>
                <w:sz w:val="20"/>
              </w:rPr>
              <w:t xml:space="preserve">Руководитель тушения крупного лесного пожара, его место постоянного пребывания или расположения его штаба (красный) </w:t>
            </w:r>
            <w:hyperlink w:history="0" w:anchor="P612" w:tooltip="&lt;1&gt; При необходимости внутри знака красным цветом указывается номер пожара;">
              <w:r>
                <w:rPr>
                  <w:sz w:val="20"/>
                  <w:color w:val="0000ff"/>
                </w:rPr>
                <w:t xml:space="preserve">&lt;1&gt;</w:t>
              </w:r>
            </w:hyperlink>
          </w:p>
        </w:tc>
      </w:tr>
      <w:tr>
        <w:tc>
          <w:tcPr>
            <w:tcW w:w="567" w:type="dxa"/>
            <w:vAlign w:val="center"/>
          </w:tcPr>
          <w:p>
            <w:pPr>
              <w:pStyle w:val="0"/>
              <w:jc w:val="center"/>
            </w:pPr>
            <w:r>
              <w:rPr>
                <w:sz w:val="20"/>
              </w:rPr>
              <w:t xml:space="preserve">3.</w:t>
            </w:r>
          </w:p>
        </w:tc>
        <w:tc>
          <w:tcPr>
            <w:tcW w:w="2210" w:type="dxa"/>
          </w:tcPr>
          <w:p>
            <w:pPr>
              <w:pStyle w:val="0"/>
              <w:jc w:val="right"/>
            </w:pPr>
            <w:r>
              <w:rPr>
                <w:position w:val="-21"/>
              </w:rPr>
              <w:drawing>
                <wp:inline distT="0" distB="0" distL="0" distR="0">
                  <wp:extent cx="362585" cy="396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362585" cy="396240"/>
                          </a:xfrm>
                          <a:prstGeom prst="rect">
                            <a:avLst/>
                          </a:prstGeom>
                          <a:noFill/>
                          <a:ln>
                            <a:noFill/>
                          </a:ln>
                        </pic:spPr>
                      </pic:pic>
                    </a:graphicData>
                  </a:graphic>
                </wp:inline>
              </w:drawing>
            </w:r>
          </w:p>
        </w:tc>
        <w:tc>
          <w:tcPr>
            <w:tcW w:w="6292" w:type="dxa"/>
          </w:tcPr>
          <w:p>
            <w:pPr>
              <w:pStyle w:val="0"/>
            </w:pPr>
            <w:r>
              <w:rPr>
                <w:sz w:val="20"/>
              </w:rPr>
              <w:t xml:space="preserve">Оперативный штаб лесничества, его место расположения (красный)</w:t>
            </w:r>
          </w:p>
        </w:tc>
      </w:tr>
      <w:tr>
        <w:tc>
          <w:tcPr>
            <w:tcW w:w="567" w:type="dxa"/>
            <w:vAlign w:val="center"/>
          </w:tcPr>
          <w:p>
            <w:pPr>
              <w:pStyle w:val="0"/>
              <w:jc w:val="center"/>
            </w:pPr>
            <w:r>
              <w:rPr>
                <w:sz w:val="20"/>
              </w:rPr>
              <w:t xml:space="preserve">4.</w:t>
            </w:r>
          </w:p>
        </w:tc>
        <w:tc>
          <w:tcPr>
            <w:tcW w:w="2210" w:type="dxa"/>
          </w:tcPr>
          <w:p>
            <w:pPr>
              <w:pStyle w:val="0"/>
              <w:jc w:val="right"/>
            </w:pPr>
            <w:r>
              <w:rPr>
                <w:position w:val="-30"/>
              </w:rPr>
              <w:drawing>
                <wp:inline distT="0" distB="0" distL="0" distR="0">
                  <wp:extent cx="724535" cy="519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724535" cy="519430"/>
                          </a:xfrm>
                          <a:prstGeom prst="rect">
                            <a:avLst/>
                          </a:prstGeom>
                          <a:noFill/>
                          <a:ln>
                            <a:noFill/>
                          </a:ln>
                        </pic:spPr>
                      </pic:pic>
                    </a:graphicData>
                  </a:graphic>
                </wp:inline>
              </w:drawing>
            </w:r>
          </w:p>
        </w:tc>
        <w:tc>
          <w:tcPr>
            <w:tcW w:w="6292" w:type="dxa"/>
          </w:tcPr>
          <w:p>
            <w:pPr>
              <w:pStyle w:val="0"/>
            </w:pPr>
            <w:r>
              <w:rPr>
                <w:sz w:val="20"/>
              </w:rPr>
              <w:t xml:space="preserve">Руководитель лесопожарного подразделения лесопожарной организации на пожаре (красный), номер или буквенное обозначение подразделения (красный)</w:t>
            </w:r>
          </w:p>
        </w:tc>
      </w:tr>
      <w:tr>
        <w:tc>
          <w:tcPr>
            <w:tcW w:w="567" w:type="dxa"/>
            <w:vAlign w:val="center"/>
          </w:tcPr>
          <w:p>
            <w:pPr>
              <w:pStyle w:val="0"/>
              <w:jc w:val="center"/>
            </w:pPr>
            <w:r>
              <w:rPr>
                <w:sz w:val="20"/>
              </w:rPr>
              <w:t xml:space="preserve">5.</w:t>
            </w:r>
          </w:p>
        </w:tc>
        <w:tc>
          <w:tcPr>
            <w:tcW w:w="2210" w:type="dxa"/>
          </w:tcPr>
          <w:p>
            <w:pPr>
              <w:pStyle w:val="0"/>
              <w:jc w:val="right"/>
            </w:pPr>
            <w:r>
              <w:rPr>
                <w:position w:val="-32"/>
              </w:rPr>
              <w:drawing>
                <wp:inline distT="0" distB="0" distL="0" distR="0">
                  <wp:extent cx="724535" cy="5410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724535" cy="541020"/>
                          </a:xfrm>
                          <a:prstGeom prst="rect">
                            <a:avLst/>
                          </a:prstGeom>
                          <a:noFill/>
                          <a:ln>
                            <a:noFill/>
                          </a:ln>
                        </pic:spPr>
                      </pic:pic>
                    </a:graphicData>
                  </a:graphic>
                </wp:inline>
              </w:drawing>
            </w:r>
          </w:p>
        </w:tc>
        <w:tc>
          <w:tcPr>
            <w:tcW w:w="6292" w:type="dxa"/>
          </w:tcPr>
          <w:p>
            <w:pPr>
              <w:pStyle w:val="0"/>
            </w:pPr>
            <w:r>
              <w:rPr>
                <w:sz w:val="20"/>
              </w:rPr>
              <w:t xml:space="preserve">Руководитель тушения сектора крупного лесного пожара (красный), номер или буквенное обозначение сектора тушения (красный)</w:t>
            </w:r>
          </w:p>
        </w:tc>
      </w:tr>
      <w:tr>
        <w:tc>
          <w:tcPr>
            <w:tcW w:w="567" w:type="dxa"/>
            <w:vAlign w:val="center"/>
          </w:tcPr>
          <w:p>
            <w:pPr>
              <w:pStyle w:val="0"/>
              <w:jc w:val="center"/>
            </w:pPr>
            <w:r>
              <w:rPr>
                <w:sz w:val="20"/>
              </w:rPr>
              <w:t xml:space="preserve">6.</w:t>
            </w:r>
          </w:p>
        </w:tc>
        <w:tc>
          <w:tcPr>
            <w:tcW w:w="2210" w:type="dxa"/>
          </w:tcPr>
          <w:p>
            <w:pPr>
              <w:pStyle w:val="0"/>
              <w:jc w:val="right"/>
            </w:pPr>
            <w:r>
              <w:rPr>
                <w:position w:val="-3"/>
              </w:rPr>
              <w:drawing>
                <wp:inline distT="0" distB="0" distL="0" distR="0">
                  <wp:extent cx="721360" cy="166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721360" cy="166370"/>
                          </a:xfrm>
                          <a:prstGeom prst="rect">
                            <a:avLst/>
                          </a:prstGeom>
                          <a:noFill/>
                          <a:ln>
                            <a:noFill/>
                          </a:ln>
                        </pic:spPr>
                      </pic:pic>
                    </a:graphicData>
                  </a:graphic>
                </wp:inline>
              </w:drawing>
            </w:r>
          </w:p>
        </w:tc>
        <w:tc>
          <w:tcPr>
            <w:tcW w:w="6292" w:type="dxa"/>
          </w:tcPr>
          <w:p>
            <w:pPr>
              <w:pStyle w:val="0"/>
            </w:pPr>
            <w:r>
              <w:rPr>
                <w:sz w:val="20"/>
              </w:rPr>
              <w:t xml:space="preserve">Секторы, разграничительная линия (красная)</w:t>
            </w:r>
          </w:p>
        </w:tc>
      </w:tr>
      <w:tr>
        <w:tc>
          <w:tcPr>
            <w:tcW w:w="567" w:type="dxa"/>
            <w:vAlign w:val="center"/>
          </w:tcPr>
          <w:p>
            <w:pPr>
              <w:pStyle w:val="0"/>
              <w:jc w:val="center"/>
            </w:pPr>
            <w:r>
              <w:rPr>
                <w:sz w:val="20"/>
              </w:rPr>
              <w:t xml:space="preserve">7.</w:t>
            </w:r>
          </w:p>
        </w:tc>
        <w:tc>
          <w:tcPr>
            <w:tcW w:w="2210" w:type="dxa"/>
          </w:tcPr>
          <w:p>
            <w:pPr>
              <w:pStyle w:val="0"/>
              <w:jc w:val="right"/>
            </w:pPr>
            <w:r>
              <w:rPr>
                <w:position w:val="-14"/>
              </w:rPr>
              <w:drawing>
                <wp:inline distT="0" distB="0" distL="0" distR="0">
                  <wp:extent cx="713105" cy="3092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713105" cy="309245"/>
                          </a:xfrm>
                          <a:prstGeom prst="rect">
                            <a:avLst/>
                          </a:prstGeom>
                          <a:noFill/>
                          <a:ln>
                            <a:noFill/>
                          </a:ln>
                        </pic:spPr>
                      </pic:pic>
                    </a:graphicData>
                  </a:graphic>
                </wp:inline>
              </w:drawing>
            </w:r>
          </w:p>
        </w:tc>
        <w:tc>
          <w:tcPr>
            <w:tcW w:w="6292" w:type="dxa"/>
          </w:tcPr>
          <w:p>
            <w:pPr>
              <w:pStyle w:val="0"/>
            </w:pPr>
            <w:r>
              <w:rPr>
                <w:sz w:val="20"/>
              </w:rPr>
              <w:t xml:space="preserve">Участок, его границы (красный), подпись - номер участка (черный)</w:t>
            </w:r>
          </w:p>
        </w:tc>
      </w:tr>
      <w:tr>
        <w:tc>
          <w:tcPr>
            <w:tcW w:w="567" w:type="dxa"/>
            <w:vAlign w:val="center"/>
          </w:tcPr>
          <w:p>
            <w:pPr>
              <w:pStyle w:val="0"/>
              <w:jc w:val="center"/>
            </w:pPr>
            <w:r>
              <w:rPr>
                <w:sz w:val="20"/>
              </w:rPr>
              <w:t xml:space="preserve">8.</w:t>
            </w:r>
          </w:p>
        </w:tc>
        <w:tc>
          <w:tcPr>
            <w:tcW w:w="2210" w:type="dxa"/>
          </w:tcPr>
          <w:p>
            <w:pPr>
              <w:pStyle w:val="0"/>
              <w:jc w:val="right"/>
            </w:pPr>
            <w:r>
              <w:rPr>
                <w:position w:val="-36"/>
              </w:rPr>
              <w:drawing>
                <wp:inline distT="0" distB="0" distL="0" distR="0">
                  <wp:extent cx="537210" cy="589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537210" cy="589280"/>
                          </a:xfrm>
                          <a:prstGeom prst="rect">
                            <a:avLst/>
                          </a:prstGeom>
                          <a:noFill/>
                          <a:ln>
                            <a:noFill/>
                          </a:ln>
                        </pic:spPr>
                      </pic:pic>
                    </a:graphicData>
                  </a:graphic>
                </wp:inline>
              </w:drawing>
            </w:r>
          </w:p>
        </w:tc>
        <w:tc>
          <w:tcPr>
            <w:tcW w:w="6292" w:type="dxa"/>
          </w:tcPr>
          <w:p>
            <w:pPr>
              <w:pStyle w:val="0"/>
            </w:pPr>
            <w:r>
              <w:rPr>
                <w:sz w:val="20"/>
              </w:rPr>
              <w:t xml:space="preserve">Пункт диспетчерского управления, его место расположения (красный)</w:t>
            </w:r>
          </w:p>
        </w:tc>
      </w:tr>
      <w:tr>
        <w:tc>
          <w:tcPr>
            <w:tcW w:w="567" w:type="dxa"/>
            <w:vAlign w:val="center"/>
          </w:tcPr>
          <w:p>
            <w:pPr>
              <w:pStyle w:val="0"/>
              <w:jc w:val="center"/>
            </w:pPr>
            <w:r>
              <w:rPr>
                <w:sz w:val="20"/>
              </w:rPr>
              <w:t xml:space="preserve">9.</w:t>
            </w:r>
          </w:p>
        </w:tc>
        <w:tc>
          <w:tcPr>
            <w:tcW w:w="2210" w:type="dxa"/>
          </w:tcPr>
          <w:p>
            <w:pPr>
              <w:pStyle w:val="0"/>
              <w:jc w:val="right"/>
            </w:pPr>
            <w:r>
              <w:rPr>
                <w:position w:val="-38"/>
              </w:rPr>
              <w:drawing>
                <wp:inline distT="0" distB="0" distL="0" distR="0">
                  <wp:extent cx="797560"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797560" cy="618490"/>
                          </a:xfrm>
                          <a:prstGeom prst="rect">
                            <a:avLst/>
                          </a:prstGeom>
                          <a:noFill/>
                          <a:ln>
                            <a:noFill/>
                          </a:ln>
                        </pic:spPr>
                      </pic:pic>
                    </a:graphicData>
                  </a:graphic>
                </wp:inline>
              </w:drawing>
            </w:r>
          </w:p>
        </w:tc>
        <w:tc>
          <w:tcPr>
            <w:tcW w:w="6292" w:type="dxa"/>
          </w:tcPr>
          <w:p>
            <w:pPr>
              <w:pStyle w:val="0"/>
            </w:pPr>
            <w:r>
              <w:rPr>
                <w:sz w:val="20"/>
              </w:rPr>
              <w:t xml:space="preserve">Границы территорий, обладающих высокой пожарной опасностью и сложностью при тушении пожара (гари, шелкопрядники, ветровалы) (символ - коричневый, буквенная подпись - коричневый)</w:t>
            </w:r>
          </w:p>
        </w:tc>
      </w:tr>
      <w:tr>
        <w:tc>
          <w:tcPr>
            <w:tcW w:w="567" w:type="dxa"/>
            <w:vAlign w:val="center"/>
          </w:tcPr>
          <w:p>
            <w:pPr>
              <w:pStyle w:val="0"/>
              <w:jc w:val="center"/>
            </w:pPr>
            <w:r>
              <w:rPr>
                <w:sz w:val="20"/>
              </w:rPr>
              <w:t xml:space="preserve">10.</w:t>
            </w:r>
          </w:p>
        </w:tc>
        <w:tc>
          <w:tcPr>
            <w:tcW w:w="2210" w:type="dxa"/>
          </w:tcPr>
          <w:p>
            <w:pPr>
              <w:pStyle w:val="0"/>
              <w:jc w:val="right"/>
            </w:pPr>
            <w:r>
              <w:rPr>
                <w:position w:val="-41"/>
              </w:rPr>
              <w:drawing>
                <wp:inline distT="0" distB="0" distL="0" distR="0">
                  <wp:extent cx="786765" cy="6584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786765" cy="658495"/>
                          </a:xfrm>
                          <a:prstGeom prst="rect">
                            <a:avLst/>
                          </a:prstGeom>
                          <a:noFill/>
                          <a:ln>
                            <a:noFill/>
                          </a:ln>
                        </pic:spPr>
                      </pic:pic>
                    </a:graphicData>
                  </a:graphic>
                </wp:inline>
              </w:drawing>
            </w:r>
          </w:p>
        </w:tc>
        <w:tc>
          <w:tcPr>
            <w:tcW w:w="6292" w:type="dxa"/>
          </w:tcPr>
          <w:p>
            <w:pPr>
              <w:pStyle w:val="0"/>
            </w:pPr>
            <w:r>
              <w:rPr>
                <w:sz w:val="20"/>
              </w:rPr>
              <w:t xml:space="preserve">Группа (команда) наземных сил на местности, которая использует методы и способы тушения с применением ручных средств (красный)</w:t>
            </w:r>
          </w:p>
        </w:tc>
      </w:tr>
      <w:tr>
        <w:tc>
          <w:tcPr>
            <w:tcW w:w="567" w:type="dxa"/>
            <w:vAlign w:val="center"/>
          </w:tcPr>
          <w:p>
            <w:pPr>
              <w:pStyle w:val="0"/>
              <w:jc w:val="center"/>
            </w:pPr>
            <w:r>
              <w:rPr>
                <w:sz w:val="20"/>
              </w:rPr>
              <w:t xml:space="preserve">11.</w:t>
            </w:r>
          </w:p>
        </w:tc>
        <w:tc>
          <w:tcPr>
            <w:tcW w:w="2210" w:type="dxa"/>
          </w:tcPr>
          <w:p>
            <w:pPr>
              <w:pStyle w:val="0"/>
              <w:jc w:val="right"/>
            </w:pPr>
            <w:r>
              <w:rPr>
                <w:position w:val="-71"/>
              </w:rPr>
              <w:drawing>
                <wp:inline distT="0" distB="0" distL="0" distR="0">
                  <wp:extent cx="791210" cy="1031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791210" cy="1031875"/>
                          </a:xfrm>
                          <a:prstGeom prst="rect">
                            <a:avLst/>
                          </a:prstGeom>
                          <a:noFill/>
                          <a:ln>
                            <a:noFill/>
                          </a:ln>
                        </pic:spPr>
                      </pic:pic>
                    </a:graphicData>
                  </a:graphic>
                </wp:inline>
              </w:drawing>
            </w:r>
          </w:p>
        </w:tc>
        <w:tc>
          <w:tcPr>
            <w:tcW w:w="6292" w:type="dxa"/>
          </w:tcPr>
          <w:p>
            <w:pPr>
              <w:pStyle w:val="0"/>
            </w:pPr>
            <w:r>
              <w:rPr>
                <w:sz w:val="20"/>
              </w:rPr>
              <w:t xml:space="preserve">Группа (команда) авиационных сил на местности, которая использует методы и способы тушения с применением ручных средств (красный)</w:t>
            </w:r>
          </w:p>
        </w:tc>
      </w:tr>
      <w:tr>
        <w:tc>
          <w:tcPr>
            <w:tcW w:w="567" w:type="dxa"/>
            <w:vAlign w:val="center"/>
          </w:tcPr>
          <w:p>
            <w:pPr>
              <w:pStyle w:val="0"/>
              <w:jc w:val="center"/>
            </w:pPr>
            <w:r>
              <w:rPr>
                <w:sz w:val="20"/>
              </w:rPr>
              <w:t xml:space="preserve">12.</w:t>
            </w:r>
          </w:p>
        </w:tc>
        <w:tc>
          <w:tcPr>
            <w:tcW w:w="2210" w:type="dxa"/>
          </w:tcPr>
          <w:p>
            <w:pPr>
              <w:pStyle w:val="0"/>
              <w:jc w:val="right"/>
            </w:pPr>
            <w:r>
              <w:rPr>
                <w:position w:val="-19"/>
              </w:rPr>
              <w:drawing>
                <wp:inline distT="0" distB="0" distL="0" distR="0">
                  <wp:extent cx="714375" cy="3790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714375" cy="379095"/>
                          </a:xfrm>
                          <a:prstGeom prst="rect">
                            <a:avLst/>
                          </a:prstGeom>
                          <a:noFill/>
                          <a:ln>
                            <a:noFill/>
                          </a:ln>
                        </pic:spPr>
                      </pic:pic>
                    </a:graphicData>
                  </a:graphic>
                </wp:inline>
              </w:drawing>
            </w:r>
          </w:p>
        </w:tc>
        <w:tc>
          <w:tcPr>
            <w:tcW w:w="6292" w:type="dxa"/>
          </w:tcPr>
          <w:p>
            <w:pPr>
              <w:pStyle w:val="0"/>
            </w:pPr>
            <w:r>
              <w:rPr>
                <w:sz w:val="20"/>
              </w:rPr>
              <w:t xml:space="preserve">Автонасос пожарный (красный)</w:t>
            </w:r>
          </w:p>
        </w:tc>
      </w:tr>
      <w:tr>
        <w:tc>
          <w:tcPr>
            <w:tcW w:w="567" w:type="dxa"/>
            <w:vAlign w:val="center"/>
          </w:tcPr>
          <w:p>
            <w:pPr>
              <w:pStyle w:val="0"/>
              <w:jc w:val="center"/>
            </w:pPr>
            <w:r>
              <w:rPr>
                <w:sz w:val="20"/>
              </w:rPr>
              <w:t xml:space="preserve">13.</w:t>
            </w:r>
          </w:p>
        </w:tc>
        <w:tc>
          <w:tcPr>
            <w:tcW w:w="2210" w:type="dxa"/>
          </w:tcPr>
          <w:p>
            <w:pPr>
              <w:pStyle w:val="0"/>
              <w:jc w:val="right"/>
            </w:pPr>
            <w:r>
              <w:rPr>
                <w:position w:val="-22"/>
              </w:rPr>
              <w:drawing>
                <wp:inline distT="0" distB="0" distL="0" distR="0">
                  <wp:extent cx="717550" cy="407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717550" cy="407670"/>
                          </a:xfrm>
                          <a:prstGeom prst="rect">
                            <a:avLst/>
                          </a:prstGeom>
                          <a:noFill/>
                          <a:ln>
                            <a:noFill/>
                          </a:ln>
                        </pic:spPr>
                      </pic:pic>
                    </a:graphicData>
                  </a:graphic>
                </wp:inline>
              </w:drawing>
            </w:r>
          </w:p>
        </w:tc>
        <w:tc>
          <w:tcPr>
            <w:tcW w:w="6292" w:type="dxa"/>
          </w:tcPr>
          <w:p>
            <w:pPr>
              <w:pStyle w:val="0"/>
            </w:pPr>
            <w:r>
              <w:rPr>
                <w:sz w:val="20"/>
              </w:rPr>
              <w:t xml:space="preserve">Автоцистерна пожарная (красный)</w:t>
            </w:r>
          </w:p>
        </w:tc>
      </w:tr>
      <w:tr>
        <w:tc>
          <w:tcPr>
            <w:tcW w:w="567" w:type="dxa"/>
            <w:vAlign w:val="center"/>
          </w:tcPr>
          <w:p>
            <w:pPr>
              <w:pStyle w:val="0"/>
              <w:jc w:val="center"/>
            </w:pPr>
            <w:r>
              <w:rPr>
                <w:sz w:val="20"/>
              </w:rPr>
              <w:t xml:space="preserve">14.</w:t>
            </w:r>
          </w:p>
        </w:tc>
        <w:tc>
          <w:tcPr>
            <w:tcW w:w="2210" w:type="dxa"/>
          </w:tcPr>
          <w:p>
            <w:pPr>
              <w:pStyle w:val="0"/>
              <w:jc w:val="right"/>
            </w:pPr>
            <w:r>
              <w:rPr>
                <w:position w:val="-19"/>
              </w:rPr>
              <w:drawing>
                <wp:inline distT="0" distB="0" distL="0" distR="0">
                  <wp:extent cx="723900" cy="368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723900" cy="368300"/>
                          </a:xfrm>
                          <a:prstGeom prst="rect">
                            <a:avLst/>
                          </a:prstGeom>
                          <a:noFill/>
                          <a:ln>
                            <a:noFill/>
                          </a:ln>
                        </pic:spPr>
                      </pic:pic>
                    </a:graphicData>
                  </a:graphic>
                </wp:inline>
              </w:drawing>
            </w:r>
          </w:p>
        </w:tc>
        <w:tc>
          <w:tcPr>
            <w:tcW w:w="6292" w:type="dxa"/>
          </w:tcPr>
          <w:p>
            <w:pPr>
              <w:pStyle w:val="0"/>
            </w:pPr>
            <w:r>
              <w:rPr>
                <w:sz w:val="20"/>
              </w:rPr>
              <w:t xml:space="preserve">Автомобиль рукавный пожарный (красный)</w:t>
            </w:r>
          </w:p>
        </w:tc>
      </w:tr>
      <w:tr>
        <w:tc>
          <w:tcPr>
            <w:tcW w:w="567" w:type="dxa"/>
            <w:vAlign w:val="center"/>
          </w:tcPr>
          <w:p>
            <w:pPr>
              <w:pStyle w:val="0"/>
              <w:jc w:val="center"/>
            </w:pPr>
            <w:r>
              <w:rPr>
                <w:sz w:val="20"/>
              </w:rPr>
              <w:t xml:space="preserve">15.</w:t>
            </w:r>
          </w:p>
        </w:tc>
        <w:tc>
          <w:tcPr>
            <w:tcW w:w="2210" w:type="dxa"/>
          </w:tcPr>
          <w:p>
            <w:pPr>
              <w:pStyle w:val="0"/>
              <w:jc w:val="right"/>
            </w:pPr>
            <w:r>
              <w:rPr>
                <w:position w:val="-21"/>
              </w:rPr>
              <w:drawing>
                <wp:inline distT="0" distB="0" distL="0" distR="0">
                  <wp:extent cx="727075" cy="399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727075" cy="399415"/>
                          </a:xfrm>
                          <a:prstGeom prst="rect">
                            <a:avLst/>
                          </a:prstGeom>
                          <a:noFill/>
                          <a:ln>
                            <a:noFill/>
                          </a:ln>
                        </pic:spPr>
                      </pic:pic>
                    </a:graphicData>
                  </a:graphic>
                </wp:inline>
              </w:drawing>
            </w:r>
          </w:p>
        </w:tc>
        <w:tc>
          <w:tcPr>
            <w:tcW w:w="6292" w:type="dxa"/>
          </w:tcPr>
          <w:p>
            <w:pPr>
              <w:pStyle w:val="0"/>
            </w:pPr>
            <w:r>
              <w:rPr>
                <w:sz w:val="20"/>
              </w:rPr>
              <w:t xml:space="preserve">Автомобиль технической службы (красный)</w:t>
            </w:r>
          </w:p>
        </w:tc>
      </w:tr>
      <w:tr>
        <w:tc>
          <w:tcPr>
            <w:tcW w:w="567" w:type="dxa"/>
            <w:vAlign w:val="center"/>
          </w:tcPr>
          <w:p>
            <w:pPr>
              <w:pStyle w:val="0"/>
              <w:jc w:val="center"/>
            </w:pPr>
            <w:r>
              <w:rPr>
                <w:sz w:val="20"/>
              </w:rPr>
              <w:t xml:space="preserve">16.</w:t>
            </w:r>
          </w:p>
        </w:tc>
        <w:tc>
          <w:tcPr>
            <w:tcW w:w="2210" w:type="dxa"/>
          </w:tcPr>
          <w:p>
            <w:pPr>
              <w:pStyle w:val="0"/>
              <w:jc w:val="right"/>
            </w:pPr>
            <w:r>
              <w:rPr>
                <w:position w:val="-18"/>
              </w:rPr>
              <w:drawing>
                <wp:inline distT="0" distB="0" distL="0" distR="0">
                  <wp:extent cx="721995" cy="367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721995" cy="367665"/>
                          </a:xfrm>
                          <a:prstGeom prst="rect">
                            <a:avLst/>
                          </a:prstGeom>
                          <a:noFill/>
                          <a:ln>
                            <a:noFill/>
                          </a:ln>
                        </pic:spPr>
                      </pic:pic>
                    </a:graphicData>
                  </a:graphic>
                </wp:inline>
              </w:drawing>
            </w:r>
          </w:p>
        </w:tc>
        <w:tc>
          <w:tcPr>
            <w:tcW w:w="6292" w:type="dxa"/>
          </w:tcPr>
          <w:p>
            <w:pPr>
              <w:pStyle w:val="0"/>
            </w:pPr>
            <w:r>
              <w:rPr>
                <w:sz w:val="20"/>
              </w:rPr>
              <w:t xml:space="preserve">Станция автонасосная пожарная (красный)</w:t>
            </w:r>
          </w:p>
        </w:tc>
      </w:tr>
      <w:tr>
        <w:tc>
          <w:tcPr>
            <w:tcW w:w="567" w:type="dxa"/>
            <w:vAlign w:val="center"/>
          </w:tcPr>
          <w:p>
            <w:pPr>
              <w:pStyle w:val="0"/>
              <w:jc w:val="center"/>
            </w:pPr>
            <w:r>
              <w:rPr>
                <w:sz w:val="20"/>
              </w:rPr>
              <w:t xml:space="preserve">17.</w:t>
            </w:r>
          </w:p>
        </w:tc>
        <w:tc>
          <w:tcPr>
            <w:tcW w:w="2210" w:type="dxa"/>
          </w:tcPr>
          <w:p>
            <w:pPr>
              <w:pStyle w:val="0"/>
              <w:jc w:val="right"/>
            </w:pPr>
            <w:r>
              <w:rPr>
                <w:position w:val="-28"/>
              </w:rPr>
              <w:drawing>
                <wp:inline distT="0" distB="0" distL="0" distR="0">
                  <wp:extent cx="716280" cy="485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716280" cy="485140"/>
                          </a:xfrm>
                          <a:prstGeom prst="rect">
                            <a:avLst/>
                          </a:prstGeom>
                          <a:noFill/>
                          <a:ln>
                            <a:noFill/>
                          </a:ln>
                        </pic:spPr>
                      </pic:pic>
                    </a:graphicData>
                  </a:graphic>
                </wp:inline>
              </w:drawing>
            </w:r>
          </w:p>
        </w:tc>
        <w:tc>
          <w:tcPr>
            <w:tcW w:w="6292" w:type="dxa"/>
          </w:tcPr>
          <w:p>
            <w:pPr>
              <w:pStyle w:val="0"/>
            </w:pPr>
            <w:r>
              <w:rPr>
                <w:sz w:val="20"/>
              </w:rPr>
              <w:t xml:space="preserve">Пожарный танк (красный)</w:t>
            </w:r>
          </w:p>
        </w:tc>
      </w:tr>
      <w:tr>
        <w:tc>
          <w:tcPr>
            <w:tcW w:w="567" w:type="dxa"/>
            <w:vAlign w:val="center"/>
          </w:tcPr>
          <w:p>
            <w:pPr>
              <w:pStyle w:val="0"/>
              <w:jc w:val="center"/>
            </w:pPr>
            <w:r>
              <w:rPr>
                <w:sz w:val="20"/>
              </w:rPr>
              <w:t xml:space="preserve">18.</w:t>
            </w:r>
          </w:p>
        </w:tc>
        <w:tc>
          <w:tcPr>
            <w:tcW w:w="2210" w:type="dxa"/>
          </w:tcPr>
          <w:p>
            <w:pPr>
              <w:pStyle w:val="0"/>
              <w:jc w:val="right"/>
            </w:pPr>
            <w:r>
              <w:rPr>
                <w:position w:val="-16"/>
              </w:rPr>
              <w:drawing>
                <wp:inline distT="0" distB="0" distL="0" distR="0">
                  <wp:extent cx="794385" cy="333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794385" cy="333375"/>
                          </a:xfrm>
                          <a:prstGeom prst="rect">
                            <a:avLst/>
                          </a:prstGeom>
                          <a:noFill/>
                          <a:ln>
                            <a:noFill/>
                          </a:ln>
                        </pic:spPr>
                      </pic:pic>
                    </a:graphicData>
                  </a:graphic>
                </wp:inline>
              </w:drawing>
            </w:r>
          </w:p>
        </w:tc>
        <w:tc>
          <w:tcPr>
            <w:tcW w:w="6292" w:type="dxa"/>
          </w:tcPr>
          <w:p>
            <w:pPr>
              <w:pStyle w:val="0"/>
            </w:pPr>
            <w:r>
              <w:rPr>
                <w:sz w:val="20"/>
              </w:rPr>
              <w:t xml:space="preserve">Лесной пожарный танк с отвалом или клином (красный)</w:t>
            </w:r>
          </w:p>
        </w:tc>
      </w:tr>
      <w:tr>
        <w:tc>
          <w:tcPr>
            <w:tcW w:w="567" w:type="dxa"/>
            <w:vAlign w:val="center"/>
          </w:tcPr>
          <w:p>
            <w:pPr>
              <w:pStyle w:val="0"/>
              <w:jc w:val="center"/>
            </w:pPr>
            <w:r>
              <w:rPr>
                <w:sz w:val="20"/>
              </w:rPr>
              <w:t xml:space="preserve">19.</w:t>
            </w:r>
          </w:p>
        </w:tc>
        <w:tc>
          <w:tcPr>
            <w:tcW w:w="2210" w:type="dxa"/>
          </w:tcPr>
          <w:p>
            <w:pPr>
              <w:pStyle w:val="0"/>
              <w:jc w:val="right"/>
            </w:pPr>
            <w:r>
              <w:rPr>
                <w:position w:val="-21"/>
              </w:rPr>
              <w:drawing>
                <wp:inline distT="0" distB="0" distL="0" distR="0">
                  <wp:extent cx="720090" cy="397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720090" cy="397510"/>
                          </a:xfrm>
                          <a:prstGeom prst="rect">
                            <a:avLst/>
                          </a:prstGeom>
                          <a:noFill/>
                          <a:ln>
                            <a:noFill/>
                          </a:ln>
                        </pic:spPr>
                      </pic:pic>
                    </a:graphicData>
                  </a:graphic>
                </wp:inline>
              </w:drawing>
            </w:r>
          </w:p>
        </w:tc>
        <w:tc>
          <w:tcPr>
            <w:tcW w:w="6292" w:type="dxa"/>
          </w:tcPr>
          <w:p>
            <w:pPr>
              <w:pStyle w:val="0"/>
            </w:pPr>
            <w:r>
              <w:rPr>
                <w:sz w:val="20"/>
              </w:rPr>
              <w:t xml:space="preserve">Автомобиль штабной пожарный (красный)</w:t>
            </w:r>
          </w:p>
        </w:tc>
      </w:tr>
      <w:tr>
        <w:tc>
          <w:tcPr>
            <w:tcW w:w="567" w:type="dxa"/>
            <w:vAlign w:val="center"/>
          </w:tcPr>
          <w:p>
            <w:pPr>
              <w:pStyle w:val="0"/>
              <w:jc w:val="center"/>
            </w:pPr>
            <w:r>
              <w:rPr>
                <w:sz w:val="20"/>
              </w:rPr>
              <w:t xml:space="preserve">20.</w:t>
            </w:r>
          </w:p>
        </w:tc>
        <w:tc>
          <w:tcPr>
            <w:tcW w:w="2210" w:type="dxa"/>
          </w:tcPr>
          <w:p>
            <w:pPr>
              <w:pStyle w:val="0"/>
              <w:jc w:val="right"/>
            </w:pPr>
            <w:r>
              <w:rPr>
                <w:position w:val="-23"/>
              </w:rPr>
              <w:drawing>
                <wp:inline distT="0" distB="0" distL="0" distR="0">
                  <wp:extent cx="535305" cy="424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535305" cy="424815"/>
                          </a:xfrm>
                          <a:prstGeom prst="rect">
                            <a:avLst/>
                          </a:prstGeom>
                          <a:noFill/>
                          <a:ln>
                            <a:noFill/>
                          </a:ln>
                        </pic:spPr>
                      </pic:pic>
                    </a:graphicData>
                  </a:graphic>
                </wp:inline>
              </w:drawing>
            </w:r>
          </w:p>
        </w:tc>
        <w:tc>
          <w:tcPr>
            <w:tcW w:w="6292" w:type="dxa"/>
          </w:tcPr>
          <w:p>
            <w:pPr>
              <w:pStyle w:val="0"/>
            </w:pPr>
            <w:r>
              <w:rPr>
                <w:sz w:val="20"/>
              </w:rPr>
              <w:t xml:space="preserve">Прицеп пожарный (красный)</w:t>
            </w:r>
          </w:p>
        </w:tc>
      </w:tr>
      <w:tr>
        <w:tc>
          <w:tcPr>
            <w:tcW w:w="567" w:type="dxa"/>
            <w:vAlign w:val="center"/>
          </w:tcPr>
          <w:p>
            <w:pPr>
              <w:pStyle w:val="0"/>
              <w:jc w:val="center"/>
            </w:pPr>
            <w:r>
              <w:rPr>
                <w:sz w:val="20"/>
              </w:rPr>
              <w:t xml:space="preserve">21.</w:t>
            </w:r>
          </w:p>
        </w:tc>
        <w:tc>
          <w:tcPr>
            <w:tcW w:w="2210" w:type="dxa"/>
          </w:tcPr>
          <w:p>
            <w:pPr>
              <w:pStyle w:val="0"/>
              <w:jc w:val="right"/>
            </w:pPr>
            <w:r>
              <w:rPr>
                <w:position w:val="-19"/>
              </w:rPr>
              <w:drawing>
                <wp:inline distT="0" distB="0" distL="0" distR="0">
                  <wp:extent cx="720725" cy="372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720725" cy="372745"/>
                          </a:xfrm>
                          <a:prstGeom prst="rect">
                            <a:avLst/>
                          </a:prstGeom>
                          <a:noFill/>
                          <a:ln>
                            <a:noFill/>
                          </a:ln>
                        </pic:spPr>
                      </pic:pic>
                    </a:graphicData>
                  </a:graphic>
                </wp:inline>
              </w:drawing>
            </w:r>
          </w:p>
        </w:tc>
        <w:tc>
          <w:tcPr>
            <w:tcW w:w="6292" w:type="dxa"/>
          </w:tcPr>
          <w:p>
            <w:pPr>
              <w:pStyle w:val="0"/>
            </w:pPr>
            <w:r>
              <w:rPr>
                <w:sz w:val="20"/>
              </w:rPr>
              <w:t xml:space="preserve">Катер пожарный (красный)</w:t>
            </w:r>
          </w:p>
        </w:tc>
      </w:tr>
      <w:tr>
        <w:tc>
          <w:tcPr>
            <w:tcW w:w="567" w:type="dxa"/>
            <w:vAlign w:val="center"/>
          </w:tcPr>
          <w:p>
            <w:pPr>
              <w:pStyle w:val="0"/>
              <w:jc w:val="center"/>
            </w:pPr>
            <w:r>
              <w:rPr>
                <w:sz w:val="20"/>
              </w:rPr>
              <w:t xml:space="preserve">22.</w:t>
            </w:r>
          </w:p>
        </w:tc>
        <w:tc>
          <w:tcPr>
            <w:tcW w:w="2210" w:type="dxa"/>
          </w:tcPr>
          <w:p>
            <w:pPr>
              <w:pStyle w:val="0"/>
              <w:jc w:val="right"/>
            </w:pPr>
            <w:r>
              <w:rPr>
                <w:position w:val="-24"/>
              </w:rPr>
              <w:drawing>
                <wp:inline distT="0" distB="0" distL="0" distR="0">
                  <wp:extent cx="723265" cy="431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723265" cy="431800"/>
                          </a:xfrm>
                          <a:prstGeom prst="rect">
                            <a:avLst/>
                          </a:prstGeom>
                          <a:noFill/>
                          <a:ln>
                            <a:noFill/>
                          </a:ln>
                        </pic:spPr>
                      </pic:pic>
                    </a:graphicData>
                  </a:graphic>
                </wp:inline>
              </w:drawing>
            </w:r>
          </w:p>
        </w:tc>
        <w:tc>
          <w:tcPr>
            <w:tcW w:w="6292" w:type="dxa"/>
          </w:tcPr>
          <w:p>
            <w:pPr>
              <w:pStyle w:val="0"/>
            </w:pPr>
            <w:r>
              <w:rPr>
                <w:sz w:val="20"/>
              </w:rPr>
              <w:t xml:space="preserve">Поезд пожарный (красный), планируемое время работы</w:t>
            </w:r>
          </w:p>
        </w:tc>
      </w:tr>
      <w:tr>
        <w:tc>
          <w:tcPr>
            <w:tcW w:w="567" w:type="dxa"/>
            <w:vAlign w:val="center"/>
          </w:tcPr>
          <w:p>
            <w:pPr>
              <w:pStyle w:val="0"/>
              <w:jc w:val="center"/>
            </w:pPr>
            <w:r>
              <w:rPr>
                <w:sz w:val="20"/>
              </w:rPr>
              <w:t xml:space="preserve">23.</w:t>
            </w:r>
          </w:p>
        </w:tc>
        <w:tc>
          <w:tcPr>
            <w:tcW w:w="2210" w:type="dxa"/>
          </w:tcPr>
          <w:p>
            <w:pPr>
              <w:pStyle w:val="0"/>
              <w:jc w:val="right"/>
            </w:pPr>
            <w:r>
              <w:rPr>
                <w:position w:val="-22"/>
              </w:rPr>
              <w:drawing>
                <wp:inline distT="0" distB="0" distL="0" distR="0">
                  <wp:extent cx="724535" cy="413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724535" cy="413385"/>
                          </a:xfrm>
                          <a:prstGeom prst="rect">
                            <a:avLst/>
                          </a:prstGeom>
                          <a:noFill/>
                          <a:ln>
                            <a:noFill/>
                          </a:ln>
                        </pic:spPr>
                      </pic:pic>
                    </a:graphicData>
                  </a:graphic>
                </wp:inline>
              </w:drawing>
            </w:r>
          </w:p>
        </w:tc>
        <w:tc>
          <w:tcPr>
            <w:tcW w:w="6292" w:type="dxa"/>
          </w:tcPr>
          <w:p>
            <w:pPr>
              <w:pStyle w:val="0"/>
            </w:pPr>
            <w:r>
              <w:rPr>
                <w:sz w:val="20"/>
              </w:rPr>
              <w:t xml:space="preserve">Трактор лесопожарный колесный (красный)</w:t>
            </w:r>
          </w:p>
        </w:tc>
      </w:tr>
      <w:tr>
        <w:tc>
          <w:tcPr>
            <w:tcW w:w="567" w:type="dxa"/>
            <w:vAlign w:val="center"/>
          </w:tcPr>
          <w:p>
            <w:pPr>
              <w:pStyle w:val="0"/>
              <w:jc w:val="center"/>
            </w:pPr>
            <w:r>
              <w:rPr>
                <w:sz w:val="20"/>
              </w:rPr>
              <w:t xml:space="preserve">24.</w:t>
            </w:r>
          </w:p>
        </w:tc>
        <w:tc>
          <w:tcPr>
            <w:tcW w:w="2210" w:type="dxa"/>
          </w:tcPr>
          <w:p>
            <w:pPr>
              <w:pStyle w:val="0"/>
              <w:jc w:val="right"/>
            </w:pPr>
            <w:r>
              <w:rPr>
                <w:position w:val="-22"/>
              </w:rPr>
              <w:drawing>
                <wp:inline distT="0" distB="0" distL="0" distR="0">
                  <wp:extent cx="725805" cy="409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725805" cy="409575"/>
                          </a:xfrm>
                          <a:prstGeom prst="rect">
                            <a:avLst/>
                          </a:prstGeom>
                          <a:noFill/>
                          <a:ln>
                            <a:noFill/>
                          </a:ln>
                        </pic:spPr>
                      </pic:pic>
                    </a:graphicData>
                  </a:graphic>
                </wp:inline>
              </w:drawing>
            </w:r>
          </w:p>
        </w:tc>
        <w:tc>
          <w:tcPr>
            <w:tcW w:w="6292" w:type="dxa"/>
          </w:tcPr>
          <w:p>
            <w:pPr>
              <w:pStyle w:val="0"/>
            </w:pPr>
            <w:r>
              <w:rPr>
                <w:sz w:val="20"/>
              </w:rPr>
              <w:t xml:space="preserve">Трактор лесопожарный гусеничный (красный)</w:t>
            </w:r>
          </w:p>
        </w:tc>
      </w:tr>
      <w:tr>
        <w:tc>
          <w:tcPr>
            <w:tcW w:w="567" w:type="dxa"/>
            <w:vAlign w:val="center"/>
          </w:tcPr>
          <w:p>
            <w:pPr>
              <w:pStyle w:val="0"/>
              <w:jc w:val="center"/>
            </w:pPr>
            <w:r>
              <w:rPr>
                <w:sz w:val="20"/>
              </w:rPr>
              <w:t xml:space="preserve">25.</w:t>
            </w:r>
          </w:p>
        </w:tc>
        <w:tc>
          <w:tcPr>
            <w:tcW w:w="2210" w:type="dxa"/>
          </w:tcPr>
          <w:p>
            <w:pPr>
              <w:pStyle w:val="0"/>
              <w:jc w:val="right"/>
            </w:pPr>
            <w:r>
              <w:rPr>
                <w:position w:val="-21"/>
              </w:rPr>
              <w:drawing>
                <wp:inline distT="0" distB="0" distL="0" distR="0">
                  <wp:extent cx="713105" cy="3981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713105" cy="398145"/>
                          </a:xfrm>
                          <a:prstGeom prst="rect">
                            <a:avLst/>
                          </a:prstGeom>
                          <a:noFill/>
                          <a:ln>
                            <a:noFill/>
                          </a:ln>
                        </pic:spPr>
                      </pic:pic>
                    </a:graphicData>
                  </a:graphic>
                </wp:inline>
              </w:drawing>
            </w:r>
          </w:p>
        </w:tc>
        <w:tc>
          <w:tcPr>
            <w:tcW w:w="6292" w:type="dxa"/>
          </w:tcPr>
          <w:p>
            <w:pPr>
              <w:pStyle w:val="0"/>
            </w:pPr>
            <w:r>
              <w:rPr>
                <w:sz w:val="20"/>
              </w:rPr>
              <w:t xml:space="preserve">Бульдозер лесопожарный (красный)</w:t>
            </w:r>
          </w:p>
        </w:tc>
      </w:tr>
      <w:tr>
        <w:tc>
          <w:tcPr>
            <w:tcW w:w="567" w:type="dxa"/>
            <w:vAlign w:val="center"/>
          </w:tcPr>
          <w:p>
            <w:pPr>
              <w:pStyle w:val="0"/>
              <w:jc w:val="center"/>
            </w:pPr>
            <w:r>
              <w:rPr>
                <w:sz w:val="20"/>
              </w:rPr>
              <w:t xml:space="preserve">26.</w:t>
            </w:r>
          </w:p>
        </w:tc>
        <w:tc>
          <w:tcPr>
            <w:tcW w:w="2210" w:type="dxa"/>
          </w:tcPr>
          <w:p>
            <w:pPr>
              <w:pStyle w:val="0"/>
              <w:jc w:val="right"/>
            </w:pPr>
            <w:r>
              <w:rPr>
                <w:position w:val="-39"/>
              </w:rPr>
              <w:drawing>
                <wp:inline distT="0" distB="0" distL="0" distR="0">
                  <wp:extent cx="728345" cy="625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728345" cy="625475"/>
                          </a:xfrm>
                          <a:prstGeom prst="rect">
                            <a:avLst/>
                          </a:prstGeom>
                          <a:noFill/>
                          <a:ln>
                            <a:noFill/>
                          </a:ln>
                        </pic:spPr>
                      </pic:pic>
                    </a:graphicData>
                  </a:graphic>
                </wp:inline>
              </w:drawing>
            </w:r>
          </w:p>
        </w:tc>
        <w:tc>
          <w:tcPr>
            <w:tcW w:w="6292" w:type="dxa"/>
          </w:tcPr>
          <w:p>
            <w:pPr>
              <w:pStyle w:val="0"/>
            </w:pPr>
            <w:r>
              <w:rPr>
                <w:sz w:val="20"/>
              </w:rPr>
              <w:t xml:space="preserve">Автомобиль с указанием грузоподъемности и назначения (черный) малой грузоподъемности, средней, большой, санитарный (со знаком красного цвета)</w:t>
            </w:r>
          </w:p>
        </w:tc>
      </w:tr>
      <w:tr>
        <w:tc>
          <w:tcPr>
            <w:tcW w:w="567" w:type="dxa"/>
            <w:vAlign w:val="center"/>
          </w:tcPr>
          <w:p>
            <w:pPr>
              <w:pStyle w:val="0"/>
              <w:jc w:val="center"/>
            </w:pPr>
            <w:r>
              <w:rPr>
                <w:sz w:val="20"/>
              </w:rPr>
              <w:t xml:space="preserve">27.</w:t>
            </w:r>
          </w:p>
        </w:tc>
        <w:tc>
          <w:tcPr>
            <w:tcW w:w="2210" w:type="dxa"/>
          </w:tcPr>
          <w:p>
            <w:pPr>
              <w:pStyle w:val="0"/>
              <w:jc w:val="right"/>
            </w:pPr>
            <w:r>
              <w:rPr>
                <w:position w:val="-23"/>
              </w:rPr>
              <w:drawing>
                <wp:inline distT="0" distB="0" distL="0" distR="0">
                  <wp:extent cx="715645" cy="4279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715645" cy="427990"/>
                          </a:xfrm>
                          <a:prstGeom prst="rect">
                            <a:avLst/>
                          </a:prstGeom>
                          <a:noFill/>
                          <a:ln>
                            <a:noFill/>
                          </a:ln>
                        </pic:spPr>
                      </pic:pic>
                    </a:graphicData>
                  </a:graphic>
                </wp:inline>
              </w:drawing>
            </w:r>
          </w:p>
        </w:tc>
        <w:tc>
          <w:tcPr>
            <w:tcW w:w="6292" w:type="dxa"/>
          </w:tcPr>
          <w:p>
            <w:pPr>
              <w:pStyle w:val="0"/>
            </w:pPr>
            <w:r>
              <w:rPr>
                <w:sz w:val="20"/>
              </w:rPr>
              <w:t xml:space="preserve">Колесные инженерные и специальные машины: Э - экскаватор, Г - грейдер, К - кран, компрессор, ПЭС - передвижная электростанция, БЗ - бензозаправщик, С - самосвал (черный)</w:t>
            </w:r>
          </w:p>
        </w:tc>
      </w:tr>
      <w:tr>
        <w:tc>
          <w:tcPr>
            <w:tcW w:w="567" w:type="dxa"/>
            <w:vAlign w:val="center"/>
          </w:tcPr>
          <w:p>
            <w:pPr>
              <w:pStyle w:val="0"/>
              <w:jc w:val="center"/>
            </w:pPr>
            <w:r>
              <w:rPr>
                <w:sz w:val="20"/>
              </w:rPr>
              <w:t xml:space="preserve">28.</w:t>
            </w:r>
          </w:p>
        </w:tc>
        <w:tc>
          <w:tcPr>
            <w:tcW w:w="2210" w:type="dxa"/>
          </w:tcPr>
          <w:p>
            <w:pPr>
              <w:pStyle w:val="0"/>
              <w:jc w:val="right"/>
            </w:pPr>
            <w:r>
              <w:rPr>
                <w:position w:val="-23"/>
              </w:rPr>
              <w:drawing>
                <wp:inline distT="0" distB="0" distL="0" distR="0">
                  <wp:extent cx="71437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714375" cy="429895"/>
                          </a:xfrm>
                          <a:prstGeom prst="rect">
                            <a:avLst/>
                          </a:prstGeom>
                          <a:noFill/>
                          <a:ln>
                            <a:noFill/>
                          </a:ln>
                        </pic:spPr>
                      </pic:pic>
                    </a:graphicData>
                  </a:graphic>
                </wp:inline>
              </w:drawing>
            </w:r>
          </w:p>
        </w:tc>
        <w:tc>
          <w:tcPr>
            <w:tcW w:w="6292" w:type="dxa"/>
          </w:tcPr>
          <w:p>
            <w:pPr>
              <w:pStyle w:val="0"/>
            </w:pPr>
            <w:r>
              <w:rPr>
                <w:sz w:val="20"/>
              </w:rPr>
              <w:t xml:space="preserve">Гусеничные инженерные и специальные машины: Б - бульдозер, ИМР - инженерная машина разграждения, БАТ - путепрокладчик, К - кран, Э - экскаватор (черный)</w:t>
            </w:r>
          </w:p>
        </w:tc>
      </w:tr>
      <w:tr>
        <w:tc>
          <w:tcPr>
            <w:tcW w:w="567" w:type="dxa"/>
            <w:vAlign w:val="center"/>
          </w:tcPr>
          <w:p>
            <w:pPr>
              <w:pStyle w:val="0"/>
              <w:jc w:val="center"/>
            </w:pPr>
            <w:r>
              <w:rPr>
                <w:sz w:val="20"/>
              </w:rPr>
              <w:t xml:space="preserve">29.</w:t>
            </w:r>
          </w:p>
        </w:tc>
        <w:tc>
          <w:tcPr>
            <w:tcW w:w="2210" w:type="dxa"/>
          </w:tcPr>
          <w:p>
            <w:pPr>
              <w:pStyle w:val="0"/>
              <w:jc w:val="right"/>
            </w:pPr>
            <w:r>
              <w:rPr>
                <w:position w:val="-15"/>
              </w:rPr>
              <w:drawing>
                <wp:inline distT="0" distB="0" distL="0" distR="0">
                  <wp:extent cx="800735" cy="327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800735" cy="327025"/>
                          </a:xfrm>
                          <a:prstGeom prst="rect">
                            <a:avLst/>
                          </a:prstGeom>
                          <a:noFill/>
                          <a:ln>
                            <a:noFill/>
                          </a:ln>
                        </pic:spPr>
                      </pic:pic>
                    </a:graphicData>
                  </a:graphic>
                </wp:inline>
              </w:drawing>
            </w:r>
          </w:p>
        </w:tc>
        <w:tc>
          <w:tcPr>
            <w:tcW w:w="6292" w:type="dxa"/>
          </w:tcPr>
          <w:p>
            <w:pPr>
              <w:pStyle w:val="0"/>
            </w:pPr>
            <w:r>
              <w:rPr>
                <w:sz w:val="20"/>
              </w:rPr>
              <w:t xml:space="preserve">Тягачи: автомобильный, гусеничный (черный)</w:t>
            </w:r>
          </w:p>
        </w:tc>
      </w:tr>
      <w:tr>
        <w:tc>
          <w:tcPr>
            <w:tcW w:w="567" w:type="dxa"/>
            <w:vAlign w:val="center"/>
          </w:tcPr>
          <w:p>
            <w:pPr>
              <w:pStyle w:val="0"/>
              <w:jc w:val="center"/>
            </w:pPr>
            <w:r>
              <w:rPr>
                <w:sz w:val="20"/>
              </w:rPr>
              <w:t xml:space="preserve">30.</w:t>
            </w:r>
          </w:p>
        </w:tc>
        <w:tc>
          <w:tcPr>
            <w:tcW w:w="2210" w:type="dxa"/>
          </w:tcPr>
          <w:p>
            <w:pPr>
              <w:pStyle w:val="0"/>
              <w:jc w:val="right"/>
            </w:pPr>
            <w:r>
              <w:rPr>
                <w:position w:val="-19"/>
              </w:rPr>
              <w:drawing>
                <wp:inline distT="0" distB="0" distL="0" distR="0">
                  <wp:extent cx="798195" cy="3695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798195" cy="369570"/>
                          </a:xfrm>
                          <a:prstGeom prst="rect">
                            <a:avLst/>
                          </a:prstGeom>
                          <a:noFill/>
                          <a:ln>
                            <a:noFill/>
                          </a:ln>
                        </pic:spPr>
                      </pic:pic>
                    </a:graphicData>
                  </a:graphic>
                </wp:inline>
              </w:drawing>
            </w:r>
          </w:p>
        </w:tc>
        <w:tc>
          <w:tcPr>
            <w:tcW w:w="6292" w:type="dxa"/>
          </w:tcPr>
          <w:p>
            <w:pPr>
              <w:pStyle w:val="0"/>
            </w:pPr>
            <w:r>
              <w:rPr>
                <w:sz w:val="20"/>
              </w:rPr>
              <w:t xml:space="preserve">Самолет пожарный (красный) </w:t>
            </w:r>
            <w:hyperlink w:history="0" w:anchor="P613" w:tooltip="&lt;2&gt; При необходимости красным цветом указывается текстом справа от символа планируемое время работы (дата и время);">
              <w:r>
                <w:rPr>
                  <w:sz w:val="20"/>
                  <w:color w:val="0000ff"/>
                </w:rPr>
                <w:t xml:space="preserve">&lt;2&gt;</w:t>
              </w:r>
            </w:hyperlink>
            <w:r>
              <w:rPr>
                <w:sz w:val="20"/>
              </w:rPr>
              <w:t xml:space="preserve"> (общее обозначение), противопожарный самолет-танкер амфибийного типа, противопожарный самолет-танкер</w:t>
            </w:r>
          </w:p>
        </w:tc>
      </w:tr>
      <w:tr>
        <w:tc>
          <w:tcPr>
            <w:tcW w:w="567" w:type="dxa"/>
            <w:vAlign w:val="center"/>
          </w:tcPr>
          <w:p>
            <w:pPr>
              <w:pStyle w:val="0"/>
              <w:jc w:val="center"/>
            </w:pPr>
            <w:r>
              <w:rPr>
                <w:sz w:val="20"/>
              </w:rPr>
              <w:t xml:space="preserve">31.</w:t>
            </w:r>
          </w:p>
        </w:tc>
        <w:tc>
          <w:tcPr>
            <w:tcW w:w="2210" w:type="dxa"/>
          </w:tcPr>
          <w:p>
            <w:pPr>
              <w:pStyle w:val="0"/>
              <w:jc w:val="right"/>
            </w:pPr>
            <w:r>
              <w:rPr>
                <w:position w:val="-18"/>
              </w:rPr>
              <w:drawing>
                <wp:inline distT="0" distB="0" distL="0" distR="0">
                  <wp:extent cx="789940" cy="357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789940" cy="357505"/>
                          </a:xfrm>
                          <a:prstGeom prst="rect">
                            <a:avLst/>
                          </a:prstGeom>
                          <a:noFill/>
                          <a:ln>
                            <a:noFill/>
                          </a:ln>
                        </pic:spPr>
                      </pic:pic>
                    </a:graphicData>
                  </a:graphic>
                </wp:inline>
              </w:drawing>
            </w:r>
          </w:p>
        </w:tc>
        <w:tc>
          <w:tcPr>
            <w:tcW w:w="6292" w:type="dxa"/>
          </w:tcPr>
          <w:p>
            <w:pPr>
              <w:pStyle w:val="0"/>
            </w:pPr>
            <w:r>
              <w:rPr>
                <w:sz w:val="20"/>
              </w:rPr>
              <w:t xml:space="preserve">Вертолет пожарный (красный) (общее обозначение), с водосливным устройством, транспортный </w:t>
            </w:r>
            <w:hyperlink w:history="0" w:anchor="P613" w:tooltip="&lt;2&gt; При необходимости красным цветом указывается текстом справа от символа планируемое время работы (дата и время);">
              <w:r>
                <w:rPr>
                  <w:sz w:val="20"/>
                  <w:color w:val="0000ff"/>
                </w:rPr>
                <w:t xml:space="preserve">&lt;2&gt;</w:t>
              </w:r>
            </w:hyperlink>
          </w:p>
        </w:tc>
      </w:tr>
      <w:tr>
        <w:tc>
          <w:tcPr>
            <w:tcW w:w="567" w:type="dxa"/>
            <w:vAlign w:val="center"/>
          </w:tcPr>
          <w:p>
            <w:pPr>
              <w:pStyle w:val="0"/>
              <w:jc w:val="center"/>
            </w:pPr>
            <w:r>
              <w:rPr>
                <w:sz w:val="20"/>
              </w:rPr>
              <w:t xml:space="preserve">32.</w:t>
            </w:r>
          </w:p>
        </w:tc>
        <w:tc>
          <w:tcPr>
            <w:tcW w:w="2210" w:type="dxa"/>
          </w:tcPr>
          <w:p>
            <w:pPr>
              <w:pStyle w:val="0"/>
              <w:jc w:val="right"/>
            </w:pPr>
            <w:r>
              <w:rPr>
                <w:position w:val="-32"/>
              </w:rPr>
              <w:drawing>
                <wp:inline distT="0" distB="0" distL="0" distR="0">
                  <wp:extent cx="540385" cy="540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92" w:type="dxa"/>
          </w:tcPr>
          <w:p>
            <w:pPr>
              <w:pStyle w:val="0"/>
            </w:pPr>
            <w:r>
              <w:rPr>
                <w:sz w:val="20"/>
              </w:rPr>
              <w:t xml:space="preserve">Посадочная площадка для вертолета временная</w:t>
            </w:r>
          </w:p>
        </w:tc>
      </w:tr>
      <w:tr>
        <w:tc>
          <w:tcPr>
            <w:tcW w:w="567" w:type="dxa"/>
            <w:vAlign w:val="center"/>
          </w:tcPr>
          <w:p>
            <w:pPr>
              <w:pStyle w:val="0"/>
              <w:jc w:val="center"/>
            </w:pPr>
            <w:r>
              <w:rPr>
                <w:sz w:val="20"/>
              </w:rPr>
              <w:t xml:space="preserve">33.</w:t>
            </w:r>
          </w:p>
        </w:tc>
        <w:tc>
          <w:tcPr>
            <w:tcW w:w="2210" w:type="dxa"/>
          </w:tcPr>
          <w:p>
            <w:pPr>
              <w:pStyle w:val="0"/>
              <w:jc w:val="right"/>
            </w:pPr>
            <w:r>
              <w:rPr>
                <w:position w:val="-28"/>
              </w:rPr>
              <w:drawing>
                <wp:inline distT="0" distB="0" distL="0" distR="0">
                  <wp:extent cx="540385" cy="4838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540385" cy="483870"/>
                          </a:xfrm>
                          <a:prstGeom prst="rect">
                            <a:avLst/>
                          </a:prstGeom>
                          <a:noFill/>
                          <a:ln>
                            <a:noFill/>
                          </a:ln>
                        </pic:spPr>
                      </pic:pic>
                    </a:graphicData>
                  </a:graphic>
                </wp:inline>
              </w:drawing>
            </w:r>
          </w:p>
        </w:tc>
        <w:tc>
          <w:tcPr>
            <w:tcW w:w="6292" w:type="dxa"/>
          </w:tcPr>
          <w:p>
            <w:pPr>
              <w:pStyle w:val="0"/>
            </w:pPr>
            <w:r>
              <w:rPr>
                <w:sz w:val="20"/>
              </w:rPr>
              <w:t xml:space="preserve">Посадочная площадка для вертолета постоянная</w:t>
            </w:r>
          </w:p>
        </w:tc>
      </w:tr>
      <w:tr>
        <w:tc>
          <w:tcPr>
            <w:tcW w:w="567" w:type="dxa"/>
            <w:vAlign w:val="center"/>
          </w:tcPr>
          <w:p>
            <w:pPr>
              <w:pStyle w:val="0"/>
              <w:jc w:val="center"/>
            </w:pPr>
            <w:r>
              <w:rPr>
                <w:sz w:val="20"/>
              </w:rPr>
              <w:t xml:space="preserve">34.</w:t>
            </w:r>
          </w:p>
        </w:tc>
        <w:tc>
          <w:tcPr>
            <w:tcW w:w="2210" w:type="dxa"/>
          </w:tcPr>
          <w:p>
            <w:pPr>
              <w:pStyle w:val="0"/>
              <w:jc w:val="right"/>
            </w:pPr>
            <w:r>
              <w:rPr>
                <w:position w:val="-5"/>
              </w:rPr>
              <w:drawing>
                <wp:inline distT="0" distB="0" distL="0" distR="0">
                  <wp:extent cx="791845" cy="193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791845" cy="193040"/>
                          </a:xfrm>
                          <a:prstGeom prst="rect">
                            <a:avLst/>
                          </a:prstGeom>
                          <a:noFill/>
                          <a:ln>
                            <a:noFill/>
                          </a:ln>
                        </pic:spPr>
                      </pic:pic>
                    </a:graphicData>
                  </a:graphic>
                </wp:inline>
              </w:drawing>
            </w:r>
          </w:p>
        </w:tc>
        <w:tc>
          <w:tcPr>
            <w:tcW w:w="6292" w:type="dxa"/>
          </w:tcPr>
          <w:p>
            <w:pPr>
              <w:pStyle w:val="0"/>
            </w:pPr>
            <w:r>
              <w:rPr>
                <w:sz w:val="20"/>
              </w:rPr>
              <w:t xml:space="preserve">Рукав пожарный (черный)</w:t>
            </w:r>
          </w:p>
        </w:tc>
      </w:tr>
      <w:tr>
        <w:tc>
          <w:tcPr>
            <w:tcW w:w="567" w:type="dxa"/>
            <w:vAlign w:val="center"/>
          </w:tcPr>
          <w:p>
            <w:pPr>
              <w:pStyle w:val="0"/>
              <w:jc w:val="center"/>
            </w:pPr>
            <w:r>
              <w:rPr>
                <w:sz w:val="20"/>
              </w:rPr>
              <w:t xml:space="preserve">35.</w:t>
            </w:r>
          </w:p>
        </w:tc>
        <w:tc>
          <w:tcPr>
            <w:tcW w:w="2210" w:type="dxa"/>
          </w:tcPr>
          <w:p>
            <w:pPr>
              <w:pStyle w:val="0"/>
              <w:jc w:val="right"/>
            </w:pPr>
            <w:r>
              <w:rPr>
                <w:position w:val="-33"/>
              </w:rPr>
              <w:drawing>
                <wp:inline distT="0" distB="0" distL="0" distR="0">
                  <wp:extent cx="7899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789940" cy="548640"/>
                          </a:xfrm>
                          <a:prstGeom prst="rect">
                            <a:avLst/>
                          </a:prstGeom>
                          <a:noFill/>
                          <a:ln>
                            <a:noFill/>
                          </a:ln>
                        </pic:spPr>
                      </pic:pic>
                    </a:graphicData>
                  </a:graphic>
                </wp:inline>
              </w:drawing>
            </w:r>
          </w:p>
        </w:tc>
        <w:tc>
          <w:tcPr>
            <w:tcW w:w="6292" w:type="dxa"/>
          </w:tcPr>
          <w:p>
            <w:pPr>
              <w:pStyle w:val="0"/>
            </w:pPr>
            <w:r>
              <w:rPr>
                <w:sz w:val="20"/>
              </w:rPr>
              <w:t xml:space="preserve">Разветвление рукавное двухходовое, трехходовое, четырехходовое (черный)</w:t>
            </w:r>
          </w:p>
        </w:tc>
      </w:tr>
      <w:tr>
        <w:tc>
          <w:tcPr>
            <w:tcW w:w="567" w:type="dxa"/>
            <w:vAlign w:val="center"/>
          </w:tcPr>
          <w:p>
            <w:pPr>
              <w:pStyle w:val="0"/>
              <w:jc w:val="center"/>
            </w:pPr>
            <w:r>
              <w:rPr>
                <w:sz w:val="20"/>
              </w:rPr>
              <w:t xml:space="preserve">36.</w:t>
            </w:r>
          </w:p>
        </w:tc>
        <w:tc>
          <w:tcPr>
            <w:tcW w:w="2210" w:type="dxa"/>
          </w:tcPr>
          <w:p>
            <w:pPr>
              <w:pStyle w:val="0"/>
              <w:jc w:val="right"/>
            </w:pPr>
            <w:r>
              <w:rPr>
                <w:position w:val="-5"/>
              </w:rPr>
              <w:drawing>
                <wp:inline distT="0" distB="0" distL="0" distR="0">
                  <wp:extent cx="794385" cy="1974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794385" cy="197485"/>
                          </a:xfrm>
                          <a:prstGeom prst="rect">
                            <a:avLst/>
                          </a:prstGeom>
                          <a:noFill/>
                          <a:ln>
                            <a:noFill/>
                          </a:ln>
                        </pic:spPr>
                      </pic:pic>
                    </a:graphicData>
                  </a:graphic>
                </wp:inline>
              </w:drawing>
            </w:r>
          </w:p>
        </w:tc>
        <w:tc>
          <w:tcPr>
            <w:tcW w:w="6292" w:type="dxa"/>
          </w:tcPr>
          <w:p>
            <w:pPr>
              <w:pStyle w:val="0"/>
            </w:pPr>
            <w:r>
              <w:rPr>
                <w:sz w:val="20"/>
              </w:rPr>
              <w:t xml:space="preserve">Ствол пожарный ручной (общее обозначение)</w:t>
            </w:r>
          </w:p>
        </w:tc>
      </w:tr>
      <w:tr>
        <w:tc>
          <w:tcPr>
            <w:tcW w:w="567" w:type="dxa"/>
            <w:vAlign w:val="center"/>
          </w:tcPr>
          <w:p>
            <w:pPr>
              <w:pStyle w:val="0"/>
              <w:jc w:val="center"/>
            </w:pPr>
            <w:r>
              <w:rPr>
                <w:sz w:val="20"/>
              </w:rPr>
              <w:t xml:space="preserve">37.</w:t>
            </w:r>
          </w:p>
        </w:tc>
        <w:tc>
          <w:tcPr>
            <w:tcW w:w="2210" w:type="dxa"/>
          </w:tcPr>
          <w:p>
            <w:pPr>
              <w:pStyle w:val="0"/>
              <w:jc w:val="right"/>
            </w:pPr>
            <w:r>
              <w:drawing>
                <wp:inline distT="0" distB="0" distL="0" distR="0">
                  <wp:extent cx="788035" cy="135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788035" cy="135890"/>
                          </a:xfrm>
                          <a:prstGeom prst="rect">
                            <a:avLst/>
                          </a:prstGeom>
                          <a:noFill/>
                          <a:ln>
                            <a:noFill/>
                          </a:ln>
                        </pic:spPr>
                      </pic:pic>
                    </a:graphicData>
                  </a:graphic>
                </wp:inline>
              </w:drawing>
            </w:r>
          </w:p>
        </w:tc>
        <w:tc>
          <w:tcPr>
            <w:tcW w:w="6292" w:type="dxa"/>
          </w:tcPr>
          <w:p>
            <w:pPr>
              <w:pStyle w:val="0"/>
            </w:pPr>
            <w:r>
              <w:rPr>
                <w:sz w:val="20"/>
              </w:rPr>
              <w:t xml:space="preserve">Рукав всасывающий (черный)</w:t>
            </w:r>
          </w:p>
        </w:tc>
      </w:tr>
      <w:tr>
        <w:tc>
          <w:tcPr>
            <w:tcW w:w="567" w:type="dxa"/>
            <w:vAlign w:val="center"/>
          </w:tcPr>
          <w:p>
            <w:pPr>
              <w:pStyle w:val="0"/>
              <w:jc w:val="center"/>
            </w:pPr>
            <w:r>
              <w:rPr>
                <w:sz w:val="20"/>
              </w:rPr>
              <w:t xml:space="preserve">38.</w:t>
            </w:r>
          </w:p>
        </w:tc>
        <w:tc>
          <w:tcPr>
            <w:tcW w:w="2210" w:type="dxa"/>
          </w:tcPr>
          <w:p>
            <w:pPr>
              <w:pStyle w:val="0"/>
              <w:jc w:val="right"/>
            </w:pPr>
            <w:r>
              <w:rPr>
                <w:position w:val="-14"/>
              </w:rPr>
              <w:drawing>
                <wp:inline distT="0" distB="0" distL="0" distR="0">
                  <wp:extent cx="783590" cy="316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783590" cy="316230"/>
                          </a:xfrm>
                          <a:prstGeom prst="rect">
                            <a:avLst/>
                          </a:prstGeom>
                          <a:noFill/>
                          <a:ln>
                            <a:noFill/>
                          </a:ln>
                        </pic:spPr>
                      </pic:pic>
                    </a:graphicData>
                  </a:graphic>
                </wp:inline>
              </w:drawing>
            </w:r>
          </w:p>
        </w:tc>
        <w:tc>
          <w:tcPr>
            <w:tcW w:w="6292" w:type="dxa"/>
          </w:tcPr>
          <w:p>
            <w:pPr>
              <w:pStyle w:val="0"/>
            </w:pPr>
            <w:r>
              <w:rPr>
                <w:sz w:val="20"/>
              </w:rPr>
              <w:t xml:space="preserve">Водосборник рукавный (черный)</w:t>
            </w:r>
          </w:p>
        </w:tc>
      </w:tr>
      <w:tr>
        <w:tc>
          <w:tcPr>
            <w:tcW w:w="567" w:type="dxa"/>
            <w:vAlign w:val="center"/>
          </w:tcPr>
          <w:p>
            <w:pPr>
              <w:pStyle w:val="0"/>
              <w:jc w:val="center"/>
            </w:pPr>
            <w:r>
              <w:rPr>
                <w:sz w:val="20"/>
              </w:rPr>
              <w:t xml:space="preserve">39.</w:t>
            </w:r>
          </w:p>
        </w:tc>
        <w:tc>
          <w:tcPr>
            <w:tcW w:w="2210" w:type="dxa"/>
          </w:tcPr>
          <w:p>
            <w:pPr>
              <w:pStyle w:val="0"/>
              <w:jc w:val="right"/>
            </w:pPr>
            <w:r>
              <w:rPr>
                <w:position w:val="-34"/>
              </w:rPr>
              <w:drawing>
                <wp:inline distT="0" distB="0" distL="0" distR="0">
                  <wp:extent cx="542925" cy="5683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542925" cy="568325"/>
                          </a:xfrm>
                          <a:prstGeom prst="rect">
                            <a:avLst/>
                          </a:prstGeom>
                          <a:noFill/>
                          <a:ln>
                            <a:noFill/>
                          </a:ln>
                        </pic:spPr>
                      </pic:pic>
                    </a:graphicData>
                  </a:graphic>
                </wp:inline>
              </w:drawing>
            </w:r>
          </w:p>
        </w:tc>
        <w:tc>
          <w:tcPr>
            <w:tcW w:w="6292" w:type="dxa"/>
          </w:tcPr>
          <w:p>
            <w:pPr>
              <w:pStyle w:val="0"/>
            </w:pPr>
            <w:r>
              <w:rPr>
                <w:sz w:val="20"/>
              </w:rPr>
              <w:t xml:space="preserve">Мотопомпа пожарная переносная (красный)</w:t>
            </w:r>
          </w:p>
        </w:tc>
      </w:tr>
      <w:tr>
        <w:tc>
          <w:tcPr>
            <w:tcW w:w="567" w:type="dxa"/>
            <w:vAlign w:val="center"/>
          </w:tcPr>
          <w:p>
            <w:pPr>
              <w:pStyle w:val="0"/>
              <w:jc w:val="center"/>
            </w:pPr>
            <w:r>
              <w:rPr>
                <w:sz w:val="20"/>
              </w:rPr>
              <w:t xml:space="preserve">40.</w:t>
            </w:r>
          </w:p>
        </w:tc>
        <w:tc>
          <w:tcPr>
            <w:tcW w:w="2210" w:type="dxa"/>
          </w:tcPr>
          <w:p>
            <w:pPr>
              <w:pStyle w:val="0"/>
              <w:jc w:val="right"/>
            </w:pPr>
            <w:r>
              <w:rPr>
                <w:position w:val="-28"/>
              </w:rPr>
              <w:drawing>
                <wp:inline distT="0" distB="0" distL="0" distR="0">
                  <wp:extent cx="534670" cy="484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534670" cy="484505"/>
                          </a:xfrm>
                          <a:prstGeom prst="rect">
                            <a:avLst/>
                          </a:prstGeom>
                          <a:noFill/>
                          <a:ln>
                            <a:noFill/>
                          </a:ln>
                        </pic:spPr>
                      </pic:pic>
                    </a:graphicData>
                  </a:graphic>
                </wp:inline>
              </w:drawing>
            </w:r>
          </w:p>
        </w:tc>
        <w:tc>
          <w:tcPr>
            <w:tcW w:w="6292" w:type="dxa"/>
          </w:tcPr>
          <w:p>
            <w:pPr>
              <w:pStyle w:val="0"/>
            </w:pPr>
            <w:r>
              <w:rPr>
                <w:sz w:val="20"/>
              </w:rPr>
              <w:t xml:space="preserve">Мотопомпа пожарная прицепная (красный)</w:t>
            </w:r>
          </w:p>
        </w:tc>
      </w:tr>
      <w:tr>
        <w:tc>
          <w:tcPr>
            <w:tcW w:w="567" w:type="dxa"/>
            <w:vAlign w:val="center"/>
          </w:tcPr>
          <w:p>
            <w:pPr>
              <w:pStyle w:val="0"/>
              <w:jc w:val="center"/>
            </w:pPr>
            <w:r>
              <w:rPr>
                <w:sz w:val="20"/>
              </w:rPr>
              <w:t xml:space="preserve">41.</w:t>
            </w:r>
          </w:p>
        </w:tc>
        <w:tc>
          <w:tcPr>
            <w:tcW w:w="2210" w:type="dxa"/>
          </w:tcPr>
          <w:p>
            <w:pPr>
              <w:pStyle w:val="0"/>
              <w:jc w:val="right"/>
            </w:pPr>
            <w:r>
              <w:rPr>
                <w:position w:val="-18"/>
              </w:rPr>
              <w:drawing>
                <wp:inline distT="0" distB="0" distL="0" distR="0">
                  <wp:extent cx="715010" cy="3562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715010" cy="356235"/>
                          </a:xfrm>
                          <a:prstGeom prst="rect">
                            <a:avLst/>
                          </a:prstGeom>
                          <a:noFill/>
                          <a:ln>
                            <a:noFill/>
                          </a:ln>
                        </pic:spPr>
                      </pic:pic>
                    </a:graphicData>
                  </a:graphic>
                </wp:inline>
              </w:drawing>
            </w:r>
          </w:p>
        </w:tc>
        <w:tc>
          <w:tcPr>
            <w:tcW w:w="6292" w:type="dxa"/>
          </w:tcPr>
          <w:p>
            <w:pPr>
              <w:pStyle w:val="0"/>
            </w:pPr>
            <w:r>
              <w:rPr>
                <w:sz w:val="20"/>
              </w:rPr>
              <w:t xml:space="preserve">Брод (красный)</w:t>
            </w:r>
          </w:p>
        </w:tc>
      </w:tr>
      <w:tr>
        <w:tc>
          <w:tcPr>
            <w:tcW w:w="567" w:type="dxa"/>
            <w:vAlign w:val="center"/>
          </w:tcPr>
          <w:p>
            <w:pPr>
              <w:pStyle w:val="0"/>
              <w:jc w:val="center"/>
            </w:pPr>
            <w:r>
              <w:rPr>
                <w:sz w:val="20"/>
              </w:rPr>
              <w:t xml:space="preserve">42.</w:t>
            </w:r>
          </w:p>
        </w:tc>
        <w:tc>
          <w:tcPr>
            <w:tcW w:w="2210" w:type="dxa"/>
          </w:tcPr>
          <w:p>
            <w:pPr>
              <w:pStyle w:val="0"/>
              <w:jc w:val="right"/>
            </w:pPr>
            <w:r>
              <w:rPr>
                <w:position w:val="-99"/>
              </w:rPr>
              <w:drawing>
                <wp:inline distT="0" distB="0" distL="0" distR="0">
                  <wp:extent cx="290195" cy="1388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290195" cy="1388745"/>
                          </a:xfrm>
                          <a:prstGeom prst="rect">
                            <a:avLst/>
                          </a:prstGeom>
                          <a:noFill/>
                          <a:ln>
                            <a:noFill/>
                          </a:ln>
                        </pic:spPr>
                      </pic:pic>
                    </a:graphicData>
                  </a:graphic>
                </wp:inline>
              </w:drawing>
            </w:r>
          </w:p>
        </w:tc>
        <w:tc>
          <w:tcPr>
            <w:tcW w:w="6292" w:type="dxa"/>
          </w:tcPr>
          <w:p>
            <w:pPr>
              <w:pStyle w:val="0"/>
            </w:pPr>
            <w:r>
              <w:rPr>
                <w:sz w:val="20"/>
              </w:rPr>
              <w:t xml:space="preserve">Рубеж, на котором необходимо остановить продвижение пожара (красный)</w:t>
            </w:r>
          </w:p>
        </w:tc>
      </w:tr>
      <w:tr>
        <w:tc>
          <w:tcPr>
            <w:tcW w:w="567" w:type="dxa"/>
            <w:vAlign w:val="center"/>
          </w:tcPr>
          <w:p>
            <w:pPr>
              <w:pStyle w:val="0"/>
              <w:jc w:val="center"/>
            </w:pPr>
            <w:r>
              <w:rPr>
                <w:sz w:val="20"/>
              </w:rPr>
              <w:t xml:space="preserve">43.</w:t>
            </w:r>
          </w:p>
        </w:tc>
        <w:tc>
          <w:tcPr>
            <w:tcW w:w="2210" w:type="dxa"/>
          </w:tcPr>
          <w:p>
            <w:pPr>
              <w:pStyle w:val="0"/>
              <w:jc w:val="right"/>
            </w:pPr>
            <w:r>
              <w:rPr>
                <w:position w:val="-95"/>
              </w:rPr>
              <w:drawing>
                <wp:inline distT="0" distB="0" distL="0" distR="0">
                  <wp:extent cx="289560" cy="1339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289560" cy="1339215"/>
                          </a:xfrm>
                          <a:prstGeom prst="rect">
                            <a:avLst/>
                          </a:prstGeom>
                          <a:noFill/>
                          <a:ln>
                            <a:noFill/>
                          </a:ln>
                        </pic:spPr>
                      </pic:pic>
                    </a:graphicData>
                  </a:graphic>
                </wp:inline>
              </w:drawing>
            </w:r>
          </w:p>
        </w:tc>
        <w:tc>
          <w:tcPr>
            <w:tcW w:w="6292" w:type="dxa"/>
          </w:tcPr>
          <w:p>
            <w:pPr>
              <w:pStyle w:val="0"/>
            </w:pPr>
            <w:r>
              <w:rPr>
                <w:sz w:val="20"/>
              </w:rPr>
              <w:t xml:space="preserve">Естественный рубеж, который может использоваться в качестве резервного рубежа (коричневый)</w:t>
            </w:r>
          </w:p>
        </w:tc>
      </w:tr>
      <w:tr>
        <w:tc>
          <w:tcPr>
            <w:tcW w:w="567" w:type="dxa"/>
            <w:vAlign w:val="center"/>
          </w:tcPr>
          <w:p>
            <w:pPr>
              <w:pStyle w:val="0"/>
              <w:jc w:val="center"/>
            </w:pPr>
            <w:r>
              <w:rPr>
                <w:sz w:val="20"/>
              </w:rPr>
              <w:t xml:space="preserve">44.</w:t>
            </w:r>
          </w:p>
        </w:tc>
        <w:tc>
          <w:tcPr>
            <w:tcW w:w="2210" w:type="dxa"/>
          </w:tcPr>
          <w:p>
            <w:pPr>
              <w:pStyle w:val="0"/>
              <w:jc w:val="right"/>
            </w:pPr>
            <w:r>
              <w:rPr>
                <w:position w:val="-21"/>
              </w:rPr>
              <w:drawing>
                <wp:inline distT="0" distB="0" distL="0" distR="0">
                  <wp:extent cx="711835" cy="3949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711835" cy="394970"/>
                          </a:xfrm>
                          <a:prstGeom prst="rect">
                            <a:avLst/>
                          </a:prstGeom>
                          <a:noFill/>
                          <a:ln>
                            <a:noFill/>
                          </a:ln>
                        </pic:spPr>
                      </pic:pic>
                    </a:graphicData>
                  </a:graphic>
                </wp:inline>
              </w:drawing>
            </w:r>
          </w:p>
        </w:tc>
        <w:tc>
          <w:tcPr>
            <w:tcW w:w="6292" w:type="dxa"/>
          </w:tcPr>
          <w:p>
            <w:pPr>
              <w:pStyle w:val="0"/>
            </w:pPr>
            <w:r>
              <w:rPr>
                <w:sz w:val="20"/>
              </w:rPr>
              <w:t xml:space="preserve">Отжиг (красный), стрелкой направление проведения отжига</w:t>
            </w:r>
          </w:p>
        </w:tc>
      </w:tr>
      <w:tr>
        <w:tc>
          <w:tcPr>
            <w:tcW w:w="567" w:type="dxa"/>
            <w:vAlign w:val="center"/>
          </w:tcPr>
          <w:p>
            <w:pPr>
              <w:pStyle w:val="0"/>
              <w:jc w:val="center"/>
            </w:pPr>
            <w:r>
              <w:rPr>
                <w:sz w:val="20"/>
              </w:rPr>
              <w:t xml:space="preserve">45.</w:t>
            </w:r>
          </w:p>
        </w:tc>
        <w:tc>
          <w:tcPr>
            <w:tcW w:w="2210" w:type="dxa"/>
          </w:tcPr>
          <w:p>
            <w:pPr>
              <w:pStyle w:val="0"/>
              <w:jc w:val="right"/>
            </w:pPr>
            <w:r>
              <w:rPr>
                <w:position w:val="-39"/>
              </w:rPr>
              <w:drawing>
                <wp:inline distT="0" distB="0" distL="0" distR="0">
                  <wp:extent cx="432435" cy="632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432435" cy="632460"/>
                          </a:xfrm>
                          <a:prstGeom prst="rect">
                            <a:avLst/>
                          </a:prstGeom>
                          <a:noFill/>
                          <a:ln>
                            <a:noFill/>
                          </a:ln>
                        </pic:spPr>
                      </pic:pic>
                    </a:graphicData>
                  </a:graphic>
                </wp:inline>
              </w:drawing>
            </w:r>
          </w:p>
        </w:tc>
        <w:tc>
          <w:tcPr>
            <w:tcW w:w="6292" w:type="dxa"/>
          </w:tcPr>
          <w:p>
            <w:pPr>
              <w:pStyle w:val="0"/>
            </w:pPr>
            <w:r>
              <w:rPr>
                <w:sz w:val="20"/>
              </w:rPr>
              <w:t xml:space="preserve">Минерализованная полоса имеющаяся (черный)</w:t>
            </w:r>
          </w:p>
        </w:tc>
      </w:tr>
      <w:tr>
        <w:tc>
          <w:tcPr>
            <w:tcW w:w="567" w:type="dxa"/>
            <w:vAlign w:val="center"/>
          </w:tcPr>
          <w:p>
            <w:pPr>
              <w:pStyle w:val="0"/>
              <w:jc w:val="center"/>
            </w:pPr>
            <w:r>
              <w:rPr>
                <w:sz w:val="20"/>
              </w:rPr>
              <w:t xml:space="preserve">46.</w:t>
            </w:r>
          </w:p>
        </w:tc>
        <w:tc>
          <w:tcPr>
            <w:tcW w:w="2210" w:type="dxa"/>
          </w:tcPr>
          <w:p>
            <w:pPr>
              <w:pStyle w:val="0"/>
              <w:jc w:val="right"/>
            </w:pPr>
            <w:r>
              <w:rPr>
                <w:position w:val="-65"/>
              </w:rPr>
              <w:drawing>
                <wp:inline distT="0" distB="0" distL="0" distR="0">
                  <wp:extent cx="640080" cy="9575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640080" cy="957580"/>
                          </a:xfrm>
                          <a:prstGeom prst="rect">
                            <a:avLst/>
                          </a:prstGeom>
                          <a:noFill/>
                          <a:ln>
                            <a:noFill/>
                          </a:ln>
                        </pic:spPr>
                      </pic:pic>
                    </a:graphicData>
                  </a:graphic>
                </wp:inline>
              </w:drawing>
            </w:r>
          </w:p>
        </w:tc>
        <w:tc>
          <w:tcPr>
            <w:tcW w:w="6292" w:type="dxa"/>
          </w:tcPr>
          <w:p>
            <w:pPr>
              <w:pStyle w:val="0"/>
            </w:pPr>
            <w:r>
              <w:rPr>
                <w:sz w:val="20"/>
              </w:rPr>
              <w:t xml:space="preserve">Планируемая минерализованная полоса (красный) без указания времени (даты) исполнения, с указанием времени (даты) исполнения, законченная полоса с указанием длины завершенного участка и времени исполнения (черный)</w:t>
            </w:r>
          </w:p>
        </w:tc>
      </w:tr>
      <w:tr>
        <w:tc>
          <w:tcPr>
            <w:tcW w:w="567" w:type="dxa"/>
            <w:vAlign w:val="center"/>
          </w:tcPr>
          <w:p>
            <w:pPr>
              <w:pStyle w:val="0"/>
              <w:jc w:val="center"/>
            </w:pPr>
            <w:r>
              <w:rPr>
                <w:sz w:val="20"/>
              </w:rPr>
              <w:t xml:space="preserve">47.</w:t>
            </w:r>
          </w:p>
        </w:tc>
        <w:tc>
          <w:tcPr>
            <w:tcW w:w="2210" w:type="dxa"/>
          </w:tcPr>
          <w:p>
            <w:pPr>
              <w:pStyle w:val="0"/>
              <w:jc w:val="right"/>
            </w:pPr>
            <w:r>
              <w:rPr>
                <w:position w:val="-45"/>
              </w:rPr>
              <w:drawing>
                <wp:inline distT="0" distB="0" distL="0" distR="0">
                  <wp:extent cx="719455" cy="698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719455" cy="698500"/>
                          </a:xfrm>
                          <a:prstGeom prst="rect">
                            <a:avLst/>
                          </a:prstGeom>
                          <a:noFill/>
                          <a:ln>
                            <a:noFill/>
                          </a:ln>
                        </pic:spPr>
                      </pic:pic>
                    </a:graphicData>
                  </a:graphic>
                </wp:inline>
              </w:drawing>
            </w:r>
          </w:p>
        </w:tc>
        <w:tc>
          <w:tcPr>
            <w:tcW w:w="6292" w:type="dxa"/>
          </w:tcPr>
          <w:p>
            <w:pPr>
              <w:pStyle w:val="0"/>
            </w:pPr>
            <w:r>
              <w:rPr>
                <w:sz w:val="20"/>
              </w:rPr>
              <w:t xml:space="preserve">Планируемая минерализованная полоса при помощи бульдозеров (красный)</w:t>
            </w:r>
          </w:p>
        </w:tc>
      </w:tr>
      <w:tr>
        <w:tc>
          <w:tcPr>
            <w:tcW w:w="567" w:type="dxa"/>
            <w:vAlign w:val="center"/>
          </w:tcPr>
          <w:p>
            <w:pPr>
              <w:pStyle w:val="0"/>
              <w:jc w:val="center"/>
            </w:pPr>
            <w:r>
              <w:rPr>
                <w:sz w:val="20"/>
              </w:rPr>
              <w:t xml:space="preserve">48.</w:t>
            </w:r>
          </w:p>
        </w:tc>
        <w:tc>
          <w:tcPr>
            <w:tcW w:w="2210" w:type="dxa"/>
          </w:tcPr>
          <w:p>
            <w:pPr>
              <w:pStyle w:val="0"/>
              <w:jc w:val="right"/>
            </w:pPr>
            <w:r>
              <w:rPr>
                <w:position w:val="-44"/>
              </w:rPr>
              <w:drawing>
                <wp:inline distT="0" distB="0" distL="0" distR="0">
                  <wp:extent cx="643890" cy="6902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643890" cy="690245"/>
                          </a:xfrm>
                          <a:prstGeom prst="rect">
                            <a:avLst/>
                          </a:prstGeom>
                          <a:noFill/>
                          <a:ln>
                            <a:noFill/>
                          </a:ln>
                        </pic:spPr>
                      </pic:pic>
                    </a:graphicData>
                  </a:graphic>
                </wp:inline>
              </w:drawing>
            </w:r>
          </w:p>
        </w:tc>
        <w:tc>
          <w:tcPr>
            <w:tcW w:w="6292" w:type="dxa"/>
          </w:tcPr>
          <w:p>
            <w:pPr>
              <w:pStyle w:val="0"/>
            </w:pPr>
            <w:r>
              <w:rPr>
                <w:sz w:val="20"/>
              </w:rPr>
              <w:t xml:space="preserve">Планируемая минерализованная полоса при помощи взрывчатых материалов (красный)</w:t>
            </w:r>
          </w:p>
        </w:tc>
      </w:tr>
      <w:tr>
        <w:tc>
          <w:tcPr>
            <w:tcW w:w="567" w:type="dxa"/>
            <w:vAlign w:val="center"/>
          </w:tcPr>
          <w:p>
            <w:pPr>
              <w:pStyle w:val="0"/>
              <w:jc w:val="center"/>
            </w:pPr>
            <w:r>
              <w:rPr>
                <w:sz w:val="20"/>
              </w:rPr>
              <w:t xml:space="preserve">49.</w:t>
            </w:r>
          </w:p>
        </w:tc>
        <w:tc>
          <w:tcPr>
            <w:tcW w:w="2210" w:type="dxa"/>
          </w:tcPr>
          <w:p>
            <w:pPr>
              <w:pStyle w:val="0"/>
              <w:jc w:val="right"/>
            </w:pPr>
            <w:r>
              <w:rPr>
                <w:position w:val="-18"/>
              </w:rPr>
              <w:drawing>
                <wp:inline distT="0" distB="0" distL="0" distR="0">
                  <wp:extent cx="717550" cy="357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717550" cy="357505"/>
                          </a:xfrm>
                          <a:prstGeom prst="rect">
                            <a:avLst/>
                          </a:prstGeom>
                          <a:noFill/>
                          <a:ln>
                            <a:noFill/>
                          </a:ln>
                        </pic:spPr>
                      </pic:pic>
                    </a:graphicData>
                  </a:graphic>
                </wp:inline>
              </w:drawing>
            </w:r>
          </w:p>
        </w:tc>
        <w:tc>
          <w:tcPr>
            <w:tcW w:w="6292" w:type="dxa"/>
          </w:tcPr>
          <w:p>
            <w:pPr>
              <w:pStyle w:val="0"/>
            </w:pPr>
            <w:r>
              <w:rPr>
                <w:sz w:val="20"/>
              </w:rPr>
              <w:t xml:space="preserve">Решающее направление действия сил и средств пожаротушения (черный)</w:t>
            </w:r>
          </w:p>
        </w:tc>
      </w:tr>
      <w:tr>
        <w:tc>
          <w:tcPr>
            <w:tcW w:w="567" w:type="dxa"/>
            <w:vAlign w:val="center"/>
          </w:tcPr>
          <w:p>
            <w:pPr>
              <w:pStyle w:val="0"/>
              <w:jc w:val="center"/>
            </w:pPr>
            <w:r>
              <w:rPr>
                <w:sz w:val="20"/>
              </w:rPr>
              <w:t xml:space="preserve">50.</w:t>
            </w:r>
          </w:p>
        </w:tc>
        <w:tc>
          <w:tcPr>
            <w:tcW w:w="2210" w:type="dxa"/>
          </w:tcPr>
          <w:p>
            <w:pPr>
              <w:pStyle w:val="0"/>
              <w:jc w:val="right"/>
            </w:pPr>
            <w:r>
              <w:drawing>
                <wp:inline distT="0" distB="0" distL="0" distR="0">
                  <wp:extent cx="709930" cy="127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709930" cy="127000"/>
                          </a:xfrm>
                          <a:prstGeom prst="rect">
                            <a:avLst/>
                          </a:prstGeom>
                          <a:noFill/>
                          <a:ln>
                            <a:noFill/>
                          </a:ln>
                        </pic:spPr>
                      </pic:pic>
                    </a:graphicData>
                  </a:graphic>
                </wp:inline>
              </w:drawing>
            </w:r>
          </w:p>
        </w:tc>
        <w:tc>
          <w:tcPr>
            <w:tcW w:w="6292" w:type="dxa"/>
          </w:tcPr>
          <w:p>
            <w:pPr>
              <w:pStyle w:val="0"/>
            </w:pPr>
            <w:r>
              <w:rPr>
                <w:sz w:val="20"/>
              </w:rPr>
              <w:t xml:space="preserve">Планируемое направление действий подразделений лесопожарных формирований и пожарной охраны, а также средств пожаротушения (красный) </w:t>
            </w:r>
            <w:hyperlink w:history="0" w:anchor="P613" w:tooltip="&lt;2&gt; При необходимости красным цветом указывается текстом справа от символа планируемое время работы (дата и время);">
              <w:r>
                <w:rPr>
                  <w:sz w:val="20"/>
                  <w:color w:val="0000ff"/>
                </w:rPr>
                <w:t xml:space="preserve">&lt;2&gt;</w:t>
              </w:r>
            </w:hyperlink>
          </w:p>
        </w:tc>
      </w:tr>
      <w:tr>
        <w:tc>
          <w:tcPr>
            <w:tcW w:w="567" w:type="dxa"/>
            <w:vAlign w:val="center"/>
          </w:tcPr>
          <w:p>
            <w:pPr>
              <w:pStyle w:val="0"/>
              <w:jc w:val="center"/>
            </w:pPr>
            <w:r>
              <w:rPr>
                <w:sz w:val="20"/>
              </w:rPr>
              <w:t xml:space="preserve">51.</w:t>
            </w:r>
          </w:p>
        </w:tc>
        <w:tc>
          <w:tcPr>
            <w:tcW w:w="2210" w:type="dxa"/>
          </w:tcPr>
          <w:p>
            <w:pPr>
              <w:pStyle w:val="0"/>
              <w:jc w:val="right"/>
            </w:pPr>
            <w:r>
              <w:rPr>
                <w:position w:val="-42"/>
              </w:rPr>
              <w:drawing>
                <wp:inline distT="0" distB="0" distL="0" distR="0">
                  <wp:extent cx="711200" cy="667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711200" cy="667385"/>
                          </a:xfrm>
                          <a:prstGeom prst="rect">
                            <a:avLst/>
                          </a:prstGeom>
                          <a:noFill/>
                          <a:ln>
                            <a:noFill/>
                          </a:ln>
                        </pic:spPr>
                      </pic:pic>
                    </a:graphicData>
                  </a:graphic>
                </wp:inline>
              </w:drawing>
            </w:r>
          </w:p>
        </w:tc>
        <w:tc>
          <w:tcPr>
            <w:tcW w:w="6292" w:type="dxa"/>
          </w:tcPr>
          <w:p>
            <w:pPr>
              <w:pStyle w:val="0"/>
            </w:pPr>
            <w:r>
              <w:rPr>
                <w:sz w:val="20"/>
              </w:rPr>
              <w:t xml:space="preserve">Положение сил на местности в ходе тушения к определенному моменту времени (красный); для планируемых мероприятий знак и подпись красным цветом, для выполненных мероприятий знак и подпись черным цветом</w:t>
            </w:r>
          </w:p>
        </w:tc>
      </w:tr>
      <w:tr>
        <w:tc>
          <w:tcPr>
            <w:tcW w:w="567" w:type="dxa"/>
            <w:vAlign w:val="center"/>
          </w:tcPr>
          <w:p>
            <w:pPr>
              <w:pStyle w:val="0"/>
              <w:jc w:val="center"/>
            </w:pPr>
            <w:r>
              <w:rPr>
                <w:sz w:val="20"/>
              </w:rPr>
              <w:t xml:space="preserve">52.</w:t>
            </w:r>
          </w:p>
        </w:tc>
        <w:tc>
          <w:tcPr>
            <w:tcW w:w="2210" w:type="dxa"/>
          </w:tcPr>
          <w:p>
            <w:pPr>
              <w:pStyle w:val="0"/>
              <w:jc w:val="right"/>
            </w:pPr>
            <w:r>
              <w:rPr>
                <w:position w:val="-13"/>
              </w:rPr>
              <w:drawing>
                <wp:inline distT="0" distB="0" distL="0" distR="0">
                  <wp:extent cx="794385" cy="302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794385" cy="302895"/>
                          </a:xfrm>
                          <a:prstGeom prst="rect">
                            <a:avLst/>
                          </a:prstGeom>
                          <a:noFill/>
                          <a:ln>
                            <a:noFill/>
                          </a:ln>
                        </pic:spPr>
                      </pic:pic>
                    </a:graphicData>
                  </a:graphic>
                </wp:inline>
              </w:drawing>
            </w:r>
          </w:p>
        </w:tc>
        <w:tc>
          <w:tcPr>
            <w:tcW w:w="6292" w:type="dxa"/>
          </w:tcPr>
          <w:p>
            <w:pPr>
              <w:pStyle w:val="0"/>
            </w:pPr>
            <w:r>
              <w:rPr>
                <w:sz w:val="20"/>
              </w:rPr>
              <w:t xml:space="preserve">Подразделение, ведущее работу на местности, его тип: группа (бригада), команда, отряд (красный)</w:t>
            </w:r>
          </w:p>
        </w:tc>
      </w:tr>
      <w:tr>
        <w:tc>
          <w:tcPr>
            <w:tcW w:w="567" w:type="dxa"/>
            <w:vAlign w:val="center"/>
          </w:tcPr>
          <w:p>
            <w:pPr>
              <w:pStyle w:val="0"/>
              <w:jc w:val="center"/>
            </w:pPr>
            <w:r>
              <w:rPr>
                <w:sz w:val="20"/>
              </w:rPr>
              <w:t xml:space="preserve">53.</w:t>
            </w:r>
          </w:p>
        </w:tc>
        <w:tc>
          <w:tcPr>
            <w:tcW w:w="2210" w:type="dxa"/>
          </w:tcPr>
          <w:p>
            <w:pPr>
              <w:pStyle w:val="0"/>
              <w:jc w:val="right"/>
            </w:pPr>
            <w:r>
              <w:rPr>
                <w:position w:val="-12"/>
              </w:rPr>
              <w:drawing>
                <wp:inline distT="0" distB="0" distL="0" distR="0">
                  <wp:extent cx="78549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785495" cy="289560"/>
                          </a:xfrm>
                          <a:prstGeom prst="rect">
                            <a:avLst/>
                          </a:prstGeom>
                          <a:noFill/>
                          <a:ln>
                            <a:noFill/>
                          </a:ln>
                        </pic:spPr>
                      </pic:pic>
                    </a:graphicData>
                  </a:graphic>
                </wp:inline>
              </w:drawing>
            </w:r>
          </w:p>
        </w:tc>
        <w:tc>
          <w:tcPr>
            <w:tcW w:w="6292" w:type="dxa"/>
          </w:tcPr>
          <w:p>
            <w:pPr>
              <w:pStyle w:val="0"/>
            </w:pPr>
            <w:r>
              <w:rPr>
                <w:sz w:val="20"/>
              </w:rPr>
              <w:t xml:space="preserve">Подразделение, ведущее работу на местности, его вид: подразделение авиапожарной службы, подразделение лесопожарной станции (механизированного отряда), подразделение пожарной охраны (аварийно-спасательное подразделение, участвующее в тушении лесного пожара) (красный)</w:t>
            </w:r>
          </w:p>
        </w:tc>
      </w:tr>
      <w:tr>
        <w:tc>
          <w:tcPr>
            <w:tcW w:w="567" w:type="dxa"/>
            <w:vAlign w:val="center"/>
          </w:tcPr>
          <w:p>
            <w:pPr>
              <w:pStyle w:val="0"/>
              <w:jc w:val="center"/>
            </w:pPr>
            <w:r>
              <w:rPr>
                <w:sz w:val="20"/>
              </w:rPr>
              <w:t xml:space="preserve">54.</w:t>
            </w:r>
          </w:p>
        </w:tc>
        <w:tc>
          <w:tcPr>
            <w:tcW w:w="2210" w:type="dxa"/>
          </w:tcPr>
          <w:p>
            <w:pPr>
              <w:pStyle w:val="0"/>
              <w:jc w:val="right"/>
            </w:pPr>
            <w:r>
              <w:rPr>
                <w:position w:val="-34"/>
              </w:rPr>
              <w:drawing>
                <wp:inline distT="0" distB="0" distL="0" distR="0">
                  <wp:extent cx="649605" cy="561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649605" cy="561340"/>
                          </a:xfrm>
                          <a:prstGeom prst="rect">
                            <a:avLst/>
                          </a:prstGeom>
                          <a:noFill/>
                          <a:ln>
                            <a:noFill/>
                          </a:ln>
                        </pic:spPr>
                      </pic:pic>
                    </a:graphicData>
                  </a:graphic>
                </wp:inline>
              </w:drawing>
            </w:r>
          </w:p>
        </w:tc>
        <w:tc>
          <w:tcPr>
            <w:tcW w:w="6292" w:type="dxa"/>
          </w:tcPr>
          <w:p>
            <w:pPr>
              <w:pStyle w:val="0"/>
            </w:pPr>
            <w:r>
              <w:rPr>
                <w:sz w:val="20"/>
              </w:rPr>
              <w:t xml:space="preserve">Подразделение, ведущее работу на местности с указанием типа и вида, количества сил и средств пожаротушения, имени руководителя подразделения (красный, подписи - черный)</w:t>
            </w:r>
          </w:p>
        </w:tc>
      </w:tr>
      <w:tr>
        <w:tc>
          <w:tcPr>
            <w:tcW w:w="567" w:type="dxa"/>
            <w:vAlign w:val="center"/>
          </w:tcPr>
          <w:p>
            <w:pPr>
              <w:pStyle w:val="0"/>
              <w:jc w:val="center"/>
            </w:pPr>
            <w:r>
              <w:rPr>
                <w:sz w:val="20"/>
              </w:rPr>
              <w:t xml:space="preserve">55.</w:t>
            </w:r>
          </w:p>
        </w:tc>
        <w:tc>
          <w:tcPr>
            <w:tcW w:w="2210" w:type="dxa"/>
          </w:tcPr>
          <w:p>
            <w:pPr>
              <w:pStyle w:val="0"/>
              <w:jc w:val="right"/>
            </w:pPr>
            <w:r>
              <w:rPr>
                <w:position w:val="-22"/>
              </w:rPr>
              <w:drawing>
                <wp:inline distT="0" distB="0" distL="0" distR="0">
                  <wp:extent cx="355600" cy="4121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355600" cy="412115"/>
                          </a:xfrm>
                          <a:prstGeom prst="rect">
                            <a:avLst/>
                          </a:prstGeom>
                          <a:noFill/>
                          <a:ln>
                            <a:noFill/>
                          </a:ln>
                        </pic:spPr>
                      </pic:pic>
                    </a:graphicData>
                  </a:graphic>
                </wp:inline>
              </w:drawing>
            </w:r>
          </w:p>
        </w:tc>
        <w:tc>
          <w:tcPr>
            <w:tcW w:w="6292" w:type="dxa"/>
          </w:tcPr>
          <w:p>
            <w:pPr>
              <w:pStyle w:val="0"/>
            </w:pPr>
            <w:r>
              <w:rPr>
                <w:sz w:val="20"/>
              </w:rPr>
              <w:t xml:space="preserve">Место высадки авиапожарных групп (красный)</w:t>
            </w:r>
          </w:p>
        </w:tc>
      </w:tr>
      <w:tr>
        <w:tc>
          <w:tcPr>
            <w:tcW w:w="567" w:type="dxa"/>
            <w:vAlign w:val="center"/>
          </w:tcPr>
          <w:p>
            <w:pPr>
              <w:pStyle w:val="0"/>
              <w:jc w:val="center"/>
            </w:pPr>
            <w:r>
              <w:rPr>
                <w:sz w:val="20"/>
              </w:rPr>
              <w:t xml:space="preserve">56.</w:t>
            </w:r>
          </w:p>
        </w:tc>
        <w:tc>
          <w:tcPr>
            <w:tcW w:w="2210" w:type="dxa"/>
          </w:tcPr>
          <w:p>
            <w:pPr>
              <w:pStyle w:val="0"/>
              <w:jc w:val="right"/>
            </w:pPr>
            <w:r>
              <w:rPr>
                <w:position w:val="-18"/>
              </w:rPr>
              <w:drawing>
                <wp:inline distT="0" distB="0" distL="0" distR="0">
                  <wp:extent cx="532765" cy="358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532765" cy="358775"/>
                          </a:xfrm>
                          <a:prstGeom prst="rect">
                            <a:avLst/>
                          </a:prstGeom>
                          <a:noFill/>
                          <a:ln>
                            <a:noFill/>
                          </a:ln>
                        </pic:spPr>
                      </pic:pic>
                    </a:graphicData>
                  </a:graphic>
                </wp:inline>
              </w:drawing>
            </w:r>
          </w:p>
        </w:tc>
        <w:tc>
          <w:tcPr>
            <w:tcW w:w="6292" w:type="dxa"/>
          </w:tcPr>
          <w:p>
            <w:pPr>
              <w:pStyle w:val="0"/>
            </w:pPr>
            <w:r>
              <w:rPr>
                <w:sz w:val="20"/>
              </w:rPr>
              <w:t xml:space="preserve">Район планируемой высадки авиапожарных групп с указанием количества и времени (красный)</w:t>
            </w:r>
          </w:p>
        </w:tc>
      </w:tr>
      <w:tr>
        <w:tc>
          <w:tcPr>
            <w:tcW w:w="567" w:type="dxa"/>
            <w:vAlign w:val="center"/>
          </w:tcPr>
          <w:p>
            <w:pPr>
              <w:pStyle w:val="0"/>
              <w:jc w:val="center"/>
            </w:pPr>
            <w:r>
              <w:rPr>
                <w:sz w:val="20"/>
              </w:rPr>
              <w:t xml:space="preserve">57.</w:t>
            </w:r>
          </w:p>
        </w:tc>
        <w:tc>
          <w:tcPr>
            <w:tcW w:w="2210" w:type="dxa"/>
          </w:tcPr>
          <w:p>
            <w:pPr>
              <w:pStyle w:val="0"/>
              <w:jc w:val="right"/>
            </w:pPr>
            <w:r>
              <w:rPr>
                <w:position w:val="-22"/>
              </w:rPr>
              <w:drawing>
                <wp:inline distT="0" distB="0" distL="0" distR="0">
                  <wp:extent cx="358140" cy="4070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358140" cy="407035"/>
                          </a:xfrm>
                          <a:prstGeom prst="rect">
                            <a:avLst/>
                          </a:prstGeom>
                          <a:noFill/>
                          <a:ln>
                            <a:noFill/>
                          </a:ln>
                        </pic:spPr>
                      </pic:pic>
                    </a:graphicData>
                  </a:graphic>
                </wp:inline>
              </w:drawing>
            </w:r>
          </w:p>
        </w:tc>
        <w:tc>
          <w:tcPr>
            <w:tcW w:w="6292" w:type="dxa"/>
          </w:tcPr>
          <w:p>
            <w:pPr>
              <w:pStyle w:val="0"/>
            </w:pPr>
            <w:r>
              <w:rPr>
                <w:sz w:val="20"/>
              </w:rPr>
              <w:t xml:space="preserve">Место расположения наземных сил пожаротушения, базовый лагерь (красный)</w:t>
            </w:r>
          </w:p>
        </w:tc>
      </w:tr>
      <w:tr>
        <w:tc>
          <w:tcPr>
            <w:tcW w:w="567" w:type="dxa"/>
            <w:vAlign w:val="center"/>
          </w:tcPr>
          <w:p>
            <w:pPr>
              <w:pStyle w:val="0"/>
              <w:jc w:val="center"/>
            </w:pPr>
            <w:r>
              <w:rPr>
                <w:sz w:val="20"/>
              </w:rPr>
              <w:t xml:space="preserve">58.</w:t>
            </w:r>
          </w:p>
        </w:tc>
        <w:tc>
          <w:tcPr>
            <w:tcW w:w="2210" w:type="dxa"/>
          </w:tcPr>
          <w:p>
            <w:pPr>
              <w:pStyle w:val="0"/>
              <w:jc w:val="right"/>
            </w:pPr>
            <w:r>
              <w:drawing>
                <wp:inline distT="0" distB="0" distL="0" distR="0">
                  <wp:extent cx="714375" cy="118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714375" cy="118745"/>
                          </a:xfrm>
                          <a:prstGeom prst="rect">
                            <a:avLst/>
                          </a:prstGeom>
                          <a:noFill/>
                          <a:ln>
                            <a:noFill/>
                          </a:ln>
                        </pic:spPr>
                      </pic:pic>
                    </a:graphicData>
                  </a:graphic>
                </wp:inline>
              </w:drawing>
            </w:r>
          </w:p>
        </w:tc>
        <w:tc>
          <w:tcPr>
            <w:tcW w:w="6292" w:type="dxa"/>
          </w:tcPr>
          <w:p>
            <w:pPr>
              <w:pStyle w:val="0"/>
            </w:pPr>
            <w:r>
              <w:rPr>
                <w:sz w:val="20"/>
              </w:rPr>
              <w:t xml:space="preserve">Дорога противопожарного назначения</w:t>
            </w:r>
          </w:p>
        </w:tc>
      </w:tr>
      <w:tr>
        <w:tc>
          <w:tcPr>
            <w:tcW w:w="567" w:type="dxa"/>
            <w:vAlign w:val="center"/>
          </w:tcPr>
          <w:p>
            <w:pPr>
              <w:pStyle w:val="0"/>
              <w:jc w:val="center"/>
            </w:pPr>
            <w:r>
              <w:rPr>
                <w:sz w:val="20"/>
              </w:rPr>
              <w:t xml:space="preserve">59.</w:t>
            </w:r>
          </w:p>
        </w:tc>
        <w:tc>
          <w:tcPr>
            <w:tcW w:w="2210" w:type="dxa"/>
          </w:tcPr>
          <w:p>
            <w:pPr>
              <w:pStyle w:val="0"/>
              <w:jc w:val="right"/>
            </w:pPr>
            <w:r>
              <w:rPr>
                <w:position w:val="-26"/>
              </w:rPr>
              <w:drawing>
                <wp:inline distT="0" distB="0" distL="0" distR="0">
                  <wp:extent cx="289560" cy="463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289560" cy="463550"/>
                          </a:xfrm>
                          <a:prstGeom prst="rect">
                            <a:avLst/>
                          </a:prstGeom>
                          <a:noFill/>
                          <a:ln>
                            <a:noFill/>
                          </a:ln>
                        </pic:spPr>
                      </pic:pic>
                    </a:graphicData>
                  </a:graphic>
                </wp:inline>
              </w:drawing>
            </w:r>
          </w:p>
        </w:tc>
        <w:tc>
          <w:tcPr>
            <w:tcW w:w="6292" w:type="dxa"/>
          </w:tcPr>
          <w:p>
            <w:pPr>
              <w:pStyle w:val="0"/>
            </w:pPr>
            <w:r>
              <w:rPr>
                <w:sz w:val="20"/>
              </w:rPr>
              <w:t xml:space="preserve">Вышка наблюдательная</w:t>
            </w:r>
          </w:p>
        </w:tc>
      </w:tr>
      <w:tr>
        <w:tc>
          <w:tcPr>
            <w:tcW w:w="567" w:type="dxa"/>
            <w:vAlign w:val="center"/>
          </w:tcPr>
          <w:p>
            <w:pPr>
              <w:pStyle w:val="0"/>
              <w:jc w:val="center"/>
            </w:pPr>
            <w:r>
              <w:rPr>
                <w:sz w:val="20"/>
              </w:rPr>
              <w:t xml:space="preserve">60.</w:t>
            </w:r>
          </w:p>
        </w:tc>
        <w:tc>
          <w:tcPr>
            <w:tcW w:w="2210" w:type="dxa"/>
          </w:tcPr>
          <w:p>
            <w:pPr>
              <w:pStyle w:val="0"/>
              <w:jc w:val="right"/>
            </w:pPr>
            <w:r>
              <w:rPr>
                <w:position w:val="-20"/>
              </w:rPr>
              <w:drawing>
                <wp:inline distT="0" distB="0" distL="0" distR="0">
                  <wp:extent cx="286385" cy="382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286385" cy="382905"/>
                          </a:xfrm>
                          <a:prstGeom prst="rect">
                            <a:avLst/>
                          </a:prstGeom>
                          <a:noFill/>
                          <a:ln>
                            <a:noFill/>
                          </a:ln>
                        </pic:spPr>
                      </pic:pic>
                    </a:graphicData>
                  </a:graphic>
                </wp:inline>
              </w:drawing>
            </w:r>
          </w:p>
        </w:tc>
        <w:tc>
          <w:tcPr>
            <w:tcW w:w="6292" w:type="dxa"/>
          </w:tcPr>
          <w:p>
            <w:pPr>
              <w:pStyle w:val="0"/>
            </w:pPr>
            <w:r>
              <w:rPr>
                <w:sz w:val="20"/>
              </w:rPr>
              <w:t xml:space="preserve">Вышка наблюдательная с аппаратурой наблюдения</w:t>
            </w:r>
          </w:p>
        </w:tc>
      </w:tr>
      <w:tr>
        <w:tc>
          <w:tcPr>
            <w:tcW w:w="567" w:type="dxa"/>
            <w:vAlign w:val="center"/>
          </w:tcPr>
          <w:p>
            <w:pPr>
              <w:pStyle w:val="0"/>
              <w:jc w:val="center"/>
            </w:pPr>
            <w:r>
              <w:rPr>
                <w:sz w:val="20"/>
              </w:rPr>
              <w:t xml:space="preserve">61.</w:t>
            </w:r>
          </w:p>
        </w:tc>
        <w:tc>
          <w:tcPr>
            <w:tcW w:w="2210" w:type="dxa"/>
          </w:tcPr>
          <w:p>
            <w:pPr>
              <w:pStyle w:val="0"/>
              <w:jc w:val="right"/>
            </w:pPr>
            <w:r>
              <w:rPr>
                <w:position w:val="-21"/>
              </w:rPr>
              <w:drawing>
                <wp:inline distT="0" distB="0" distL="0" distR="0">
                  <wp:extent cx="289560" cy="3949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289560" cy="394970"/>
                          </a:xfrm>
                          <a:prstGeom prst="rect">
                            <a:avLst/>
                          </a:prstGeom>
                          <a:noFill/>
                          <a:ln>
                            <a:noFill/>
                          </a:ln>
                        </pic:spPr>
                      </pic:pic>
                    </a:graphicData>
                  </a:graphic>
                </wp:inline>
              </w:drawing>
            </w:r>
          </w:p>
        </w:tc>
        <w:tc>
          <w:tcPr>
            <w:tcW w:w="6292" w:type="dxa"/>
          </w:tcPr>
          <w:p>
            <w:pPr>
              <w:pStyle w:val="0"/>
            </w:pPr>
            <w:r>
              <w:rPr>
                <w:sz w:val="20"/>
              </w:rPr>
              <w:t xml:space="preserve">Наблюдательный пост на лесном пожаре</w:t>
            </w:r>
          </w:p>
        </w:tc>
      </w:tr>
      <w:tr>
        <w:tc>
          <w:tcPr>
            <w:tcW w:w="567" w:type="dxa"/>
            <w:vAlign w:val="center"/>
          </w:tcPr>
          <w:p>
            <w:pPr>
              <w:pStyle w:val="0"/>
              <w:jc w:val="center"/>
            </w:pPr>
            <w:r>
              <w:rPr>
                <w:sz w:val="20"/>
              </w:rPr>
              <w:t xml:space="preserve">62.</w:t>
            </w:r>
          </w:p>
        </w:tc>
        <w:tc>
          <w:tcPr>
            <w:tcW w:w="2210" w:type="dxa"/>
          </w:tcPr>
          <w:p>
            <w:pPr>
              <w:pStyle w:val="0"/>
              <w:jc w:val="right"/>
            </w:pPr>
            <w:r>
              <w:rPr>
                <w:position w:val="-14"/>
              </w:rPr>
              <w:drawing>
                <wp:inline distT="0" distB="0" distL="0" distR="0">
                  <wp:extent cx="363855" cy="311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363855" cy="311785"/>
                          </a:xfrm>
                          <a:prstGeom prst="rect">
                            <a:avLst/>
                          </a:prstGeom>
                          <a:noFill/>
                          <a:ln>
                            <a:noFill/>
                          </a:ln>
                        </pic:spPr>
                      </pic:pic>
                    </a:graphicData>
                  </a:graphic>
                </wp:inline>
              </w:drawing>
            </w:r>
          </w:p>
        </w:tc>
        <w:tc>
          <w:tcPr>
            <w:tcW w:w="6292" w:type="dxa"/>
          </w:tcPr>
          <w:p>
            <w:pPr>
              <w:pStyle w:val="0"/>
            </w:pPr>
            <w:r>
              <w:rPr>
                <w:sz w:val="20"/>
              </w:rPr>
              <w:t xml:space="preserve">Место применения беспилотного летательного аппарата (красный) </w:t>
            </w:r>
            <w:hyperlink w:history="0" w:anchor="P614" w:tooltip="&lt;3&gt; При необходимости красным цветом указываются текстом справа от символа плановое время проведения полетов и рабочая высота;">
              <w:r>
                <w:rPr>
                  <w:sz w:val="20"/>
                  <w:color w:val="0000ff"/>
                </w:rPr>
                <w:t xml:space="preserve">&lt;3&gt;</w:t>
              </w:r>
            </w:hyperlink>
          </w:p>
        </w:tc>
      </w:tr>
      <w:tr>
        <w:tc>
          <w:tcPr>
            <w:tcW w:w="567" w:type="dxa"/>
            <w:vAlign w:val="center"/>
          </w:tcPr>
          <w:p>
            <w:pPr>
              <w:pStyle w:val="0"/>
              <w:jc w:val="center"/>
            </w:pPr>
            <w:r>
              <w:rPr>
                <w:sz w:val="20"/>
              </w:rPr>
              <w:t xml:space="preserve">63.</w:t>
            </w:r>
          </w:p>
        </w:tc>
        <w:tc>
          <w:tcPr>
            <w:tcW w:w="2210" w:type="dxa"/>
          </w:tcPr>
          <w:p>
            <w:pPr>
              <w:pStyle w:val="0"/>
              <w:jc w:val="right"/>
            </w:pPr>
            <w:r>
              <w:rPr>
                <w:position w:val="-16"/>
              </w:rPr>
              <w:drawing>
                <wp:inline distT="0" distB="0" distL="0" distR="0">
                  <wp:extent cx="358775" cy="3378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358775" cy="337820"/>
                          </a:xfrm>
                          <a:prstGeom prst="rect">
                            <a:avLst/>
                          </a:prstGeom>
                          <a:noFill/>
                          <a:ln>
                            <a:noFill/>
                          </a:ln>
                        </pic:spPr>
                      </pic:pic>
                    </a:graphicData>
                  </a:graphic>
                </wp:inline>
              </w:drawing>
            </w:r>
          </w:p>
        </w:tc>
        <w:tc>
          <w:tcPr>
            <w:tcW w:w="6292" w:type="dxa"/>
          </w:tcPr>
          <w:p>
            <w:pPr>
              <w:pStyle w:val="0"/>
            </w:pPr>
            <w:r>
              <w:rPr>
                <w:sz w:val="20"/>
              </w:rPr>
              <w:t xml:space="preserve">Пожарный водоем (синий)</w:t>
            </w:r>
          </w:p>
        </w:tc>
      </w:tr>
      <w:tr>
        <w:tc>
          <w:tcPr>
            <w:tcW w:w="567" w:type="dxa"/>
            <w:vAlign w:val="center"/>
          </w:tcPr>
          <w:p>
            <w:pPr>
              <w:pStyle w:val="0"/>
              <w:jc w:val="center"/>
            </w:pPr>
            <w:r>
              <w:rPr>
                <w:sz w:val="20"/>
              </w:rPr>
              <w:t xml:space="preserve">64.</w:t>
            </w:r>
          </w:p>
        </w:tc>
        <w:tc>
          <w:tcPr>
            <w:tcW w:w="2210" w:type="dxa"/>
          </w:tcPr>
          <w:p>
            <w:pPr>
              <w:pStyle w:val="0"/>
              <w:jc w:val="right"/>
            </w:pPr>
            <w:r>
              <w:rPr>
                <w:position w:val="-17"/>
              </w:rPr>
              <w:drawing>
                <wp:inline distT="0" distB="0" distL="0" distR="0">
                  <wp:extent cx="358775" cy="346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358775" cy="346075"/>
                          </a:xfrm>
                          <a:prstGeom prst="rect">
                            <a:avLst/>
                          </a:prstGeom>
                          <a:noFill/>
                          <a:ln>
                            <a:noFill/>
                          </a:ln>
                        </pic:spPr>
                      </pic:pic>
                    </a:graphicData>
                  </a:graphic>
                </wp:inline>
              </w:drawing>
            </w:r>
          </w:p>
        </w:tc>
        <w:tc>
          <w:tcPr>
            <w:tcW w:w="6292" w:type="dxa"/>
          </w:tcPr>
          <w:p>
            <w:pPr>
              <w:pStyle w:val="0"/>
            </w:pPr>
            <w:r>
              <w:rPr>
                <w:sz w:val="20"/>
              </w:rPr>
              <w:t xml:space="preserve">Пожарный резервуар мобильный с указанием вместимости в куб. м (синий)</w:t>
            </w:r>
          </w:p>
        </w:tc>
      </w:tr>
      <w:tr>
        <w:tc>
          <w:tcPr>
            <w:tcW w:w="567" w:type="dxa"/>
            <w:vAlign w:val="center"/>
          </w:tcPr>
          <w:p>
            <w:pPr>
              <w:pStyle w:val="0"/>
              <w:jc w:val="center"/>
            </w:pPr>
            <w:r>
              <w:rPr>
                <w:sz w:val="20"/>
              </w:rPr>
              <w:t xml:space="preserve">65.</w:t>
            </w:r>
          </w:p>
        </w:tc>
        <w:tc>
          <w:tcPr>
            <w:tcW w:w="2210" w:type="dxa"/>
          </w:tcPr>
          <w:p>
            <w:pPr>
              <w:pStyle w:val="0"/>
              <w:jc w:val="right"/>
            </w:pPr>
            <w:r>
              <w:rPr>
                <w:position w:val="-30"/>
              </w:rPr>
              <w:drawing>
                <wp:inline distT="0" distB="0" distL="0" distR="0">
                  <wp:extent cx="539750" cy="5086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539750" cy="508635"/>
                          </a:xfrm>
                          <a:prstGeom prst="rect">
                            <a:avLst/>
                          </a:prstGeom>
                          <a:noFill/>
                          <a:ln>
                            <a:noFill/>
                          </a:ln>
                        </pic:spPr>
                      </pic:pic>
                    </a:graphicData>
                  </a:graphic>
                </wp:inline>
              </w:drawing>
            </w:r>
          </w:p>
        </w:tc>
        <w:tc>
          <w:tcPr>
            <w:tcW w:w="6292" w:type="dxa"/>
          </w:tcPr>
          <w:p>
            <w:pPr>
              <w:pStyle w:val="0"/>
            </w:pPr>
            <w:r>
              <w:rPr>
                <w:sz w:val="20"/>
              </w:rPr>
              <w:t xml:space="preserve">Место забора воды для вертолетов (синий)</w:t>
            </w:r>
          </w:p>
        </w:tc>
      </w:tr>
      <w:tr>
        <w:tc>
          <w:tcPr>
            <w:tcW w:w="567" w:type="dxa"/>
            <w:vAlign w:val="center"/>
          </w:tcPr>
          <w:p>
            <w:pPr>
              <w:pStyle w:val="0"/>
              <w:jc w:val="center"/>
            </w:pPr>
            <w:r>
              <w:rPr>
                <w:sz w:val="20"/>
              </w:rPr>
              <w:t xml:space="preserve">66.</w:t>
            </w:r>
          </w:p>
        </w:tc>
        <w:tc>
          <w:tcPr>
            <w:tcW w:w="2210" w:type="dxa"/>
          </w:tcPr>
          <w:p>
            <w:pPr>
              <w:pStyle w:val="0"/>
              <w:jc w:val="right"/>
            </w:pPr>
            <w:r>
              <w:rPr>
                <w:position w:val="-31"/>
              </w:rPr>
              <w:drawing>
                <wp:inline distT="0" distB="0" distL="0" distR="0">
                  <wp:extent cx="541020" cy="530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541020" cy="530225"/>
                          </a:xfrm>
                          <a:prstGeom prst="rect">
                            <a:avLst/>
                          </a:prstGeom>
                          <a:noFill/>
                          <a:ln>
                            <a:noFill/>
                          </a:ln>
                        </pic:spPr>
                      </pic:pic>
                    </a:graphicData>
                  </a:graphic>
                </wp:inline>
              </w:drawing>
            </w:r>
          </w:p>
        </w:tc>
        <w:tc>
          <w:tcPr>
            <w:tcW w:w="6292" w:type="dxa"/>
          </w:tcPr>
          <w:p>
            <w:pPr>
              <w:pStyle w:val="0"/>
            </w:pPr>
            <w:r>
              <w:rPr>
                <w:sz w:val="20"/>
              </w:rPr>
              <w:t xml:space="preserve">Место забора воды для самолетов-амфибий (синий)</w:t>
            </w:r>
          </w:p>
        </w:tc>
      </w:tr>
      <w:tr>
        <w:tc>
          <w:tcPr>
            <w:tcW w:w="567" w:type="dxa"/>
            <w:vAlign w:val="center"/>
          </w:tcPr>
          <w:p>
            <w:pPr>
              <w:pStyle w:val="0"/>
              <w:jc w:val="center"/>
            </w:pPr>
            <w:r>
              <w:rPr>
                <w:sz w:val="20"/>
              </w:rPr>
              <w:t xml:space="preserve">67.</w:t>
            </w:r>
          </w:p>
        </w:tc>
        <w:tc>
          <w:tcPr>
            <w:tcW w:w="2210" w:type="dxa"/>
          </w:tcPr>
          <w:p>
            <w:pPr>
              <w:pStyle w:val="0"/>
              <w:jc w:val="right"/>
            </w:pPr>
            <w:r>
              <w:rPr>
                <w:position w:val="-31"/>
              </w:rPr>
              <w:drawing>
                <wp:inline distT="0" distB="0" distL="0" distR="0">
                  <wp:extent cx="535305" cy="5321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535305" cy="532130"/>
                          </a:xfrm>
                          <a:prstGeom prst="rect">
                            <a:avLst/>
                          </a:prstGeom>
                          <a:noFill/>
                          <a:ln>
                            <a:noFill/>
                          </a:ln>
                        </pic:spPr>
                      </pic:pic>
                    </a:graphicData>
                  </a:graphic>
                </wp:inline>
              </w:drawing>
            </w:r>
          </w:p>
        </w:tc>
        <w:tc>
          <w:tcPr>
            <w:tcW w:w="6292" w:type="dxa"/>
          </w:tcPr>
          <w:p>
            <w:pPr>
              <w:pStyle w:val="0"/>
            </w:pPr>
            <w:r>
              <w:rPr>
                <w:sz w:val="20"/>
              </w:rPr>
              <w:t xml:space="preserve">Место расположения подразделений добровольной пожарной охраны (черный)</w:t>
            </w:r>
          </w:p>
        </w:tc>
      </w:tr>
      <w:tr>
        <w:tc>
          <w:tcPr>
            <w:tcW w:w="567" w:type="dxa"/>
            <w:vAlign w:val="center"/>
          </w:tcPr>
          <w:p>
            <w:pPr>
              <w:pStyle w:val="0"/>
              <w:jc w:val="center"/>
            </w:pPr>
            <w:r>
              <w:rPr>
                <w:sz w:val="20"/>
              </w:rPr>
              <w:t xml:space="preserve">68.</w:t>
            </w:r>
          </w:p>
        </w:tc>
        <w:tc>
          <w:tcPr>
            <w:tcW w:w="2210" w:type="dxa"/>
          </w:tcPr>
          <w:p>
            <w:pPr>
              <w:pStyle w:val="0"/>
              <w:jc w:val="right"/>
            </w:pPr>
            <w:r>
              <w:rPr>
                <w:position w:val="-37"/>
              </w:rPr>
              <w:drawing>
                <wp:inline distT="0" distB="0" distL="0" distR="0">
                  <wp:extent cx="542925" cy="601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542925" cy="601345"/>
                          </a:xfrm>
                          <a:prstGeom prst="rect">
                            <a:avLst/>
                          </a:prstGeom>
                          <a:noFill/>
                          <a:ln>
                            <a:noFill/>
                          </a:ln>
                        </pic:spPr>
                      </pic:pic>
                    </a:graphicData>
                  </a:graphic>
                </wp:inline>
              </w:drawing>
            </w:r>
          </w:p>
        </w:tc>
        <w:tc>
          <w:tcPr>
            <w:tcW w:w="6292" w:type="dxa"/>
          </w:tcPr>
          <w:p>
            <w:pPr>
              <w:pStyle w:val="0"/>
            </w:pPr>
            <w:r>
              <w:rPr>
                <w:sz w:val="20"/>
              </w:rPr>
              <w:t xml:space="preserve">Место расположения подразделений государственной пожарной охраны (черный)</w:t>
            </w:r>
          </w:p>
        </w:tc>
      </w:tr>
      <w:tr>
        <w:tc>
          <w:tcPr>
            <w:tcW w:w="567" w:type="dxa"/>
            <w:vAlign w:val="center"/>
          </w:tcPr>
          <w:p>
            <w:pPr>
              <w:pStyle w:val="0"/>
              <w:jc w:val="center"/>
            </w:pPr>
            <w:r>
              <w:rPr>
                <w:sz w:val="20"/>
              </w:rPr>
              <w:t xml:space="preserve">69.</w:t>
            </w:r>
          </w:p>
        </w:tc>
        <w:tc>
          <w:tcPr>
            <w:tcW w:w="2210" w:type="dxa"/>
          </w:tcPr>
          <w:p>
            <w:pPr>
              <w:pStyle w:val="0"/>
              <w:jc w:val="right"/>
            </w:pPr>
            <w:r>
              <w:rPr>
                <w:position w:val="-35"/>
              </w:rPr>
              <w:drawing>
                <wp:inline distT="0" distB="0" distL="0" distR="0">
                  <wp:extent cx="723265" cy="5721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723265" cy="572135"/>
                          </a:xfrm>
                          <a:prstGeom prst="rect">
                            <a:avLst/>
                          </a:prstGeom>
                          <a:noFill/>
                          <a:ln>
                            <a:noFill/>
                          </a:ln>
                        </pic:spPr>
                      </pic:pic>
                    </a:graphicData>
                  </a:graphic>
                </wp:inline>
              </w:drawing>
            </w:r>
          </w:p>
        </w:tc>
        <w:tc>
          <w:tcPr>
            <w:tcW w:w="6292" w:type="dxa"/>
          </w:tcPr>
          <w:p>
            <w:pPr>
              <w:pStyle w:val="0"/>
            </w:pPr>
            <w:r>
              <w:rPr>
                <w:sz w:val="20"/>
              </w:rPr>
              <w:t xml:space="preserve">Место забора воды (синий)</w:t>
            </w:r>
          </w:p>
        </w:tc>
      </w:tr>
      <w:tr>
        <w:tc>
          <w:tcPr>
            <w:tcW w:w="567" w:type="dxa"/>
            <w:vAlign w:val="center"/>
          </w:tcPr>
          <w:p>
            <w:pPr>
              <w:pStyle w:val="0"/>
              <w:jc w:val="center"/>
            </w:pPr>
            <w:r>
              <w:rPr>
                <w:sz w:val="20"/>
              </w:rPr>
              <w:t xml:space="preserve">70.</w:t>
            </w:r>
          </w:p>
        </w:tc>
        <w:tc>
          <w:tcPr>
            <w:tcW w:w="2210" w:type="dxa"/>
          </w:tcPr>
          <w:p>
            <w:pPr>
              <w:pStyle w:val="0"/>
              <w:jc w:val="right"/>
            </w:pPr>
            <w:r>
              <w:rPr>
                <w:position w:val="-30"/>
              </w:rPr>
              <w:drawing>
                <wp:inline distT="0" distB="0" distL="0" distR="0">
                  <wp:extent cx="789940" cy="5187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789940" cy="518795"/>
                          </a:xfrm>
                          <a:prstGeom prst="rect">
                            <a:avLst/>
                          </a:prstGeom>
                          <a:noFill/>
                          <a:ln>
                            <a:noFill/>
                          </a:ln>
                        </pic:spPr>
                      </pic:pic>
                    </a:graphicData>
                  </a:graphic>
                </wp:inline>
              </w:drawing>
            </w:r>
          </w:p>
        </w:tc>
        <w:tc>
          <w:tcPr>
            <w:tcW w:w="6292" w:type="dxa"/>
          </w:tcPr>
          <w:p>
            <w:pPr>
              <w:pStyle w:val="0"/>
            </w:pPr>
            <w:r>
              <w:rPr>
                <w:sz w:val="20"/>
              </w:rPr>
              <w:t xml:space="preserve">Участок береговой полосы, где возможен забор воды пожарными машинами (40 - протяженность, цвет красный, обозначение черный, контур водоема синий)</w:t>
            </w:r>
          </w:p>
        </w:tc>
      </w:tr>
      <w:tr>
        <w:tc>
          <w:tcPr>
            <w:tcW w:w="567" w:type="dxa"/>
            <w:vAlign w:val="center"/>
          </w:tcPr>
          <w:p>
            <w:pPr>
              <w:pStyle w:val="0"/>
              <w:jc w:val="center"/>
            </w:pPr>
            <w:r>
              <w:rPr>
                <w:sz w:val="20"/>
              </w:rPr>
              <w:t xml:space="preserve">71.</w:t>
            </w:r>
          </w:p>
        </w:tc>
        <w:tc>
          <w:tcPr>
            <w:tcW w:w="2210" w:type="dxa"/>
          </w:tcPr>
          <w:p>
            <w:pPr>
              <w:pStyle w:val="0"/>
              <w:jc w:val="right"/>
            </w:pPr>
            <w:r>
              <w:rPr>
                <w:position w:val="-72"/>
              </w:rPr>
              <w:drawing>
                <wp:inline distT="0" distB="0" distL="0" distR="0">
                  <wp:extent cx="725170" cy="10490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725170" cy="1049020"/>
                          </a:xfrm>
                          <a:prstGeom prst="rect">
                            <a:avLst/>
                          </a:prstGeom>
                          <a:noFill/>
                          <a:ln>
                            <a:noFill/>
                          </a:ln>
                        </pic:spPr>
                      </pic:pic>
                    </a:graphicData>
                  </a:graphic>
                </wp:inline>
              </w:drawing>
            </w:r>
          </w:p>
        </w:tc>
        <w:tc>
          <w:tcPr>
            <w:tcW w:w="6292" w:type="dxa"/>
          </w:tcPr>
          <w:p>
            <w:pPr>
              <w:pStyle w:val="0"/>
            </w:pPr>
            <w:r>
              <w:rPr>
                <w:sz w:val="20"/>
              </w:rPr>
              <w:t xml:space="preserve">Пути подъезда техники по бездорожью для автомобилей и гусеничной техники, только для гусеничной техники (коричневый)</w:t>
            </w:r>
          </w:p>
        </w:tc>
      </w:tr>
      <w:tr>
        <w:tc>
          <w:tcPr>
            <w:tcW w:w="567" w:type="dxa"/>
            <w:vAlign w:val="center"/>
          </w:tcPr>
          <w:p>
            <w:pPr>
              <w:pStyle w:val="0"/>
              <w:jc w:val="center"/>
            </w:pPr>
            <w:r>
              <w:rPr>
                <w:sz w:val="20"/>
              </w:rPr>
              <w:t xml:space="preserve">72.</w:t>
            </w:r>
          </w:p>
        </w:tc>
        <w:tc>
          <w:tcPr>
            <w:tcW w:w="2210" w:type="dxa"/>
          </w:tcPr>
          <w:p>
            <w:pPr>
              <w:pStyle w:val="0"/>
              <w:jc w:val="right"/>
            </w:pPr>
            <w:r>
              <w:rPr>
                <w:position w:val="-9"/>
              </w:rPr>
              <w:drawing>
                <wp:inline distT="0" distB="0" distL="0" distR="0">
                  <wp:extent cx="7874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787400" cy="243840"/>
                          </a:xfrm>
                          <a:prstGeom prst="rect">
                            <a:avLst/>
                          </a:prstGeom>
                          <a:noFill/>
                          <a:ln>
                            <a:noFill/>
                          </a:ln>
                        </pic:spPr>
                      </pic:pic>
                    </a:graphicData>
                  </a:graphic>
                </wp:inline>
              </w:drawing>
            </w:r>
          </w:p>
        </w:tc>
        <w:tc>
          <w:tcPr>
            <w:tcW w:w="6292" w:type="dxa"/>
          </w:tcPr>
          <w:p>
            <w:pPr>
              <w:pStyle w:val="0"/>
            </w:pPr>
            <w:r>
              <w:rPr>
                <w:sz w:val="20"/>
              </w:rPr>
              <w:t xml:space="preserve">Пеший путь подхода (коричневый)</w:t>
            </w:r>
          </w:p>
        </w:tc>
      </w:tr>
      <w:tr>
        <w:tc>
          <w:tcPr>
            <w:tcW w:w="567" w:type="dxa"/>
            <w:vAlign w:val="center"/>
          </w:tcPr>
          <w:p>
            <w:pPr>
              <w:pStyle w:val="0"/>
              <w:jc w:val="center"/>
            </w:pPr>
            <w:r>
              <w:rPr>
                <w:sz w:val="20"/>
              </w:rPr>
              <w:t xml:space="preserve">73.</w:t>
            </w:r>
          </w:p>
        </w:tc>
        <w:tc>
          <w:tcPr>
            <w:tcW w:w="2210" w:type="dxa"/>
          </w:tcPr>
          <w:p>
            <w:pPr>
              <w:pStyle w:val="0"/>
              <w:jc w:val="right"/>
            </w:pPr>
            <w:r>
              <w:rPr>
                <w:position w:val="-11"/>
              </w:rPr>
              <w:drawing>
                <wp:inline distT="0" distB="0" distL="0" distR="0">
                  <wp:extent cx="798195" cy="2749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798195" cy="274955"/>
                          </a:xfrm>
                          <a:prstGeom prst="rect">
                            <a:avLst/>
                          </a:prstGeom>
                          <a:noFill/>
                          <a:ln>
                            <a:noFill/>
                          </a:ln>
                        </pic:spPr>
                      </pic:pic>
                    </a:graphicData>
                  </a:graphic>
                </wp:inline>
              </w:drawing>
            </w:r>
          </w:p>
        </w:tc>
        <w:tc>
          <w:tcPr>
            <w:tcW w:w="6292" w:type="dxa"/>
          </w:tcPr>
          <w:p>
            <w:pPr>
              <w:pStyle w:val="0"/>
            </w:pPr>
            <w:r>
              <w:rPr>
                <w:sz w:val="20"/>
              </w:rPr>
              <w:t xml:space="preserve">Авиаотделение (черный)</w:t>
            </w:r>
          </w:p>
        </w:tc>
      </w:tr>
      <w:tr>
        <w:tc>
          <w:tcPr>
            <w:tcW w:w="567" w:type="dxa"/>
            <w:vAlign w:val="center"/>
          </w:tcPr>
          <w:p>
            <w:pPr>
              <w:pStyle w:val="0"/>
              <w:jc w:val="center"/>
            </w:pPr>
            <w:r>
              <w:rPr>
                <w:sz w:val="20"/>
              </w:rPr>
              <w:t xml:space="preserve">74.</w:t>
            </w:r>
          </w:p>
        </w:tc>
        <w:tc>
          <w:tcPr>
            <w:tcW w:w="2210" w:type="dxa"/>
          </w:tcPr>
          <w:p>
            <w:pPr>
              <w:pStyle w:val="0"/>
              <w:jc w:val="right"/>
            </w:pPr>
            <w:r>
              <w:rPr>
                <w:position w:val="-32"/>
              </w:rPr>
              <w:drawing>
                <wp:inline distT="0" distB="0" distL="0" distR="0">
                  <wp:extent cx="798195" cy="542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798195" cy="542925"/>
                          </a:xfrm>
                          <a:prstGeom prst="rect">
                            <a:avLst/>
                          </a:prstGeom>
                          <a:noFill/>
                          <a:ln>
                            <a:noFill/>
                          </a:ln>
                        </pic:spPr>
                      </pic:pic>
                    </a:graphicData>
                  </a:graphic>
                </wp:inline>
              </w:drawing>
            </w:r>
          </w:p>
        </w:tc>
        <w:tc>
          <w:tcPr>
            <w:tcW w:w="6292" w:type="dxa"/>
          </w:tcPr>
          <w:p>
            <w:pPr>
              <w:pStyle w:val="0"/>
            </w:pPr>
            <w:r>
              <w:rPr>
                <w:sz w:val="20"/>
              </w:rPr>
              <w:t xml:space="preserve">Авиаотделение с парашютистами-пожарными и десантниками-пожарными (черный)</w:t>
            </w:r>
          </w:p>
        </w:tc>
      </w:tr>
      <w:tr>
        <w:tc>
          <w:tcPr>
            <w:tcW w:w="567" w:type="dxa"/>
            <w:vAlign w:val="center"/>
          </w:tcPr>
          <w:p>
            <w:pPr>
              <w:pStyle w:val="0"/>
              <w:jc w:val="center"/>
            </w:pPr>
            <w:r>
              <w:rPr>
                <w:sz w:val="20"/>
              </w:rPr>
              <w:t xml:space="preserve">75.</w:t>
            </w:r>
          </w:p>
        </w:tc>
        <w:tc>
          <w:tcPr>
            <w:tcW w:w="2210" w:type="dxa"/>
          </w:tcPr>
          <w:p>
            <w:pPr>
              <w:pStyle w:val="0"/>
              <w:jc w:val="right"/>
            </w:pPr>
            <w:r>
              <w:rPr>
                <w:position w:val="-28"/>
              </w:rPr>
              <w:drawing>
                <wp:inline distT="0" distB="0" distL="0" distR="0">
                  <wp:extent cx="789305" cy="485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789305" cy="485140"/>
                          </a:xfrm>
                          <a:prstGeom prst="rect">
                            <a:avLst/>
                          </a:prstGeom>
                          <a:noFill/>
                          <a:ln>
                            <a:noFill/>
                          </a:ln>
                        </pic:spPr>
                      </pic:pic>
                    </a:graphicData>
                  </a:graphic>
                </wp:inline>
              </w:drawing>
            </w:r>
          </w:p>
        </w:tc>
        <w:tc>
          <w:tcPr>
            <w:tcW w:w="6292" w:type="dxa"/>
          </w:tcPr>
          <w:p>
            <w:pPr>
              <w:pStyle w:val="0"/>
            </w:pPr>
            <w:r>
              <w:rPr>
                <w:sz w:val="20"/>
              </w:rPr>
              <w:t xml:space="preserve">Авиаотделение с парашютистами-пожарными (черный)</w:t>
            </w:r>
          </w:p>
        </w:tc>
      </w:tr>
      <w:tr>
        <w:tc>
          <w:tcPr>
            <w:tcW w:w="567" w:type="dxa"/>
            <w:vAlign w:val="center"/>
          </w:tcPr>
          <w:p>
            <w:pPr>
              <w:pStyle w:val="0"/>
              <w:jc w:val="center"/>
            </w:pPr>
            <w:r>
              <w:rPr>
                <w:sz w:val="20"/>
              </w:rPr>
              <w:t xml:space="preserve">76.</w:t>
            </w:r>
          </w:p>
        </w:tc>
        <w:tc>
          <w:tcPr>
            <w:tcW w:w="2210" w:type="dxa"/>
          </w:tcPr>
          <w:p>
            <w:pPr>
              <w:pStyle w:val="0"/>
              <w:jc w:val="right"/>
            </w:pPr>
            <w:r>
              <w:rPr>
                <w:position w:val="-21"/>
              </w:rPr>
              <w:drawing>
                <wp:inline distT="0" distB="0" distL="0" distR="0">
                  <wp:extent cx="542925" cy="4057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542925" cy="405765"/>
                          </a:xfrm>
                          <a:prstGeom prst="rect">
                            <a:avLst/>
                          </a:prstGeom>
                          <a:noFill/>
                          <a:ln>
                            <a:noFill/>
                          </a:ln>
                        </pic:spPr>
                      </pic:pic>
                    </a:graphicData>
                  </a:graphic>
                </wp:inline>
              </w:drawing>
            </w:r>
          </w:p>
        </w:tc>
        <w:tc>
          <w:tcPr>
            <w:tcW w:w="6292" w:type="dxa"/>
          </w:tcPr>
          <w:p>
            <w:pPr>
              <w:pStyle w:val="0"/>
            </w:pPr>
            <w:r>
              <w:rPr>
                <w:sz w:val="20"/>
              </w:rPr>
              <w:t xml:space="preserve">Лесопожарная станция 1-го типа (черный)</w:t>
            </w:r>
          </w:p>
        </w:tc>
      </w:tr>
      <w:tr>
        <w:tc>
          <w:tcPr>
            <w:tcW w:w="567" w:type="dxa"/>
            <w:vAlign w:val="center"/>
          </w:tcPr>
          <w:p>
            <w:pPr>
              <w:pStyle w:val="0"/>
              <w:jc w:val="center"/>
            </w:pPr>
            <w:r>
              <w:rPr>
                <w:sz w:val="20"/>
              </w:rPr>
              <w:t xml:space="preserve">77.</w:t>
            </w:r>
          </w:p>
        </w:tc>
        <w:tc>
          <w:tcPr>
            <w:tcW w:w="2210" w:type="dxa"/>
          </w:tcPr>
          <w:p>
            <w:pPr>
              <w:pStyle w:val="0"/>
              <w:jc w:val="right"/>
            </w:pPr>
            <w:r>
              <w:rPr>
                <w:position w:val="-23"/>
              </w:rPr>
              <w:drawing>
                <wp:inline distT="0" distB="0" distL="0" distR="0">
                  <wp:extent cx="542925" cy="421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542925" cy="421640"/>
                          </a:xfrm>
                          <a:prstGeom prst="rect">
                            <a:avLst/>
                          </a:prstGeom>
                          <a:noFill/>
                          <a:ln>
                            <a:noFill/>
                          </a:ln>
                        </pic:spPr>
                      </pic:pic>
                    </a:graphicData>
                  </a:graphic>
                </wp:inline>
              </w:drawing>
            </w:r>
          </w:p>
        </w:tc>
        <w:tc>
          <w:tcPr>
            <w:tcW w:w="6292" w:type="dxa"/>
          </w:tcPr>
          <w:p>
            <w:pPr>
              <w:pStyle w:val="0"/>
            </w:pPr>
            <w:r>
              <w:rPr>
                <w:sz w:val="20"/>
              </w:rPr>
              <w:t xml:space="preserve">Лесопожарная станция 2-го типа (черный)</w:t>
            </w:r>
          </w:p>
        </w:tc>
      </w:tr>
      <w:tr>
        <w:tc>
          <w:tcPr>
            <w:tcW w:w="567" w:type="dxa"/>
            <w:vAlign w:val="center"/>
          </w:tcPr>
          <w:p>
            <w:pPr>
              <w:pStyle w:val="0"/>
              <w:jc w:val="center"/>
            </w:pPr>
            <w:r>
              <w:rPr>
                <w:sz w:val="20"/>
              </w:rPr>
              <w:t xml:space="preserve">78.</w:t>
            </w:r>
          </w:p>
        </w:tc>
        <w:tc>
          <w:tcPr>
            <w:tcW w:w="2210" w:type="dxa"/>
          </w:tcPr>
          <w:p>
            <w:pPr>
              <w:pStyle w:val="0"/>
              <w:jc w:val="right"/>
            </w:pPr>
            <w:r>
              <w:rPr>
                <w:position w:val="-23"/>
              </w:rPr>
              <w:drawing>
                <wp:inline distT="0" distB="0" distL="0" distR="0">
                  <wp:extent cx="542925" cy="4267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542925" cy="426720"/>
                          </a:xfrm>
                          <a:prstGeom prst="rect">
                            <a:avLst/>
                          </a:prstGeom>
                          <a:noFill/>
                          <a:ln>
                            <a:noFill/>
                          </a:ln>
                        </pic:spPr>
                      </pic:pic>
                    </a:graphicData>
                  </a:graphic>
                </wp:inline>
              </w:drawing>
            </w:r>
          </w:p>
        </w:tc>
        <w:tc>
          <w:tcPr>
            <w:tcW w:w="6292" w:type="dxa"/>
          </w:tcPr>
          <w:p>
            <w:pPr>
              <w:pStyle w:val="0"/>
            </w:pPr>
            <w:r>
              <w:rPr>
                <w:sz w:val="20"/>
              </w:rPr>
              <w:t xml:space="preserve">Лесопожарная станция 3-го типа (черный)</w:t>
            </w:r>
          </w:p>
        </w:tc>
      </w:tr>
      <w:tr>
        <w:tc>
          <w:tcPr>
            <w:tcW w:w="567" w:type="dxa"/>
            <w:vAlign w:val="center"/>
          </w:tcPr>
          <w:p>
            <w:pPr>
              <w:pStyle w:val="0"/>
              <w:jc w:val="center"/>
            </w:pPr>
            <w:r>
              <w:rPr>
                <w:sz w:val="20"/>
              </w:rPr>
              <w:t xml:space="preserve">79.</w:t>
            </w:r>
          </w:p>
        </w:tc>
        <w:tc>
          <w:tcPr>
            <w:tcW w:w="2210" w:type="dxa"/>
          </w:tcPr>
          <w:p>
            <w:pPr>
              <w:pStyle w:val="0"/>
              <w:jc w:val="right"/>
            </w:pPr>
            <w:r>
              <w:rPr>
                <w:position w:val="-14"/>
              </w:rPr>
              <w:drawing>
                <wp:inline distT="0" distB="0" distL="0" distR="0">
                  <wp:extent cx="285750" cy="311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285750" cy="311785"/>
                          </a:xfrm>
                          <a:prstGeom prst="rect">
                            <a:avLst/>
                          </a:prstGeom>
                          <a:noFill/>
                          <a:ln>
                            <a:noFill/>
                          </a:ln>
                        </pic:spPr>
                      </pic:pic>
                    </a:graphicData>
                  </a:graphic>
                </wp:inline>
              </w:drawing>
            </w:r>
          </w:p>
        </w:tc>
        <w:tc>
          <w:tcPr>
            <w:tcW w:w="6292" w:type="dxa"/>
          </w:tcPr>
          <w:p>
            <w:pPr>
              <w:pStyle w:val="0"/>
            </w:pPr>
            <w:r>
              <w:rPr>
                <w:sz w:val="20"/>
              </w:rPr>
              <w:t xml:space="preserve">Пункт сосредоточения противопожарного имущества (черный)</w:t>
            </w:r>
          </w:p>
        </w:tc>
      </w:tr>
      <w:tr>
        <w:tc>
          <w:tcPr>
            <w:tcW w:w="567" w:type="dxa"/>
            <w:vAlign w:val="center"/>
          </w:tcPr>
          <w:p>
            <w:pPr>
              <w:pStyle w:val="0"/>
              <w:jc w:val="center"/>
            </w:pPr>
            <w:r>
              <w:rPr>
                <w:sz w:val="20"/>
              </w:rPr>
              <w:t xml:space="preserve">80.</w:t>
            </w:r>
          </w:p>
        </w:tc>
        <w:tc>
          <w:tcPr>
            <w:tcW w:w="2210" w:type="dxa"/>
          </w:tcPr>
          <w:p>
            <w:pPr>
              <w:pStyle w:val="0"/>
              <w:jc w:val="right"/>
            </w:pPr>
            <w:r>
              <w:rPr>
                <w:position w:val="-15"/>
              </w:rPr>
              <w:drawing>
                <wp:inline distT="0" distB="0" distL="0" distR="0">
                  <wp:extent cx="356870" cy="3244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356870" cy="324485"/>
                          </a:xfrm>
                          <a:prstGeom prst="rect">
                            <a:avLst/>
                          </a:prstGeom>
                          <a:noFill/>
                          <a:ln>
                            <a:noFill/>
                          </a:ln>
                        </pic:spPr>
                      </pic:pic>
                    </a:graphicData>
                  </a:graphic>
                </wp:inline>
              </w:drawing>
            </w:r>
          </w:p>
        </w:tc>
        <w:tc>
          <w:tcPr>
            <w:tcW w:w="6292" w:type="dxa"/>
          </w:tcPr>
          <w:p>
            <w:pPr>
              <w:pStyle w:val="0"/>
            </w:pPr>
            <w:r>
              <w:rPr>
                <w:sz w:val="20"/>
              </w:rPr>
              <w:t xml:space="preserve">Пост медицинской помощи (красный)</w:t>
            </w:r>
          </w:p>
        </w:tc>
      </w:tr>
      <w:tr>
        <w:tc>
          <w:tcPr>
            <w:tcW w:w="567" w:type="dxa"/>
            <w:vAlign w:val="center"/>
          </w:tcPr>
          <w:p>
            <w:pPr>
              <w:pStyle w:val="0"/>
              <w:jc w:val="center"/>
            </w:pPr>
            <w:r>
              <w:rPr>
                <w:sz w:val="20"/>
              </w:rPr>
              <w:t xml:space="preserve">81.</w:t>
            </w:r>
          </w:p>
        </w:tc>
        <w:tc>
          <w:tcPr>
            <w:tcW w:w="2210" w:type="dxa"/>
          </w:tcPr>
          <w:p>
            <w:pPr>
              <w:pStyle w:val="0"/>
              <w:jc w:val="right"/>
            </w:pPr>
            <w:r>
              <w:rPr>
                <w:position w:val="-2"/>
              </w:rPr>
              <w:drawing>
                <wp:inline distT="0" distB="0" distL="0" distR="0">
                  <wp:extent cx="796290" cy="162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796290" cy="162560"/>
                          </a:xfrm>
                          <a:prstGeom prst="rect">
                            <a:avLst/>
                          </a:prstGeom>
                          <a:noFill/>
                          <a:ln>
                            <a:noFill/>
                          </a:ln>
                        </pic:spPr>
                      </pic:pic>
                    </a:graphicData>
                  </a:graphic>
                </wp:inline>
              </w:drawing>
            </w:r>
          </w:p>
        </w:tc>
        <w:tc>
          <w:tcPr>
            <w:tcW w:w="6292" w:type="dxa"/>
          </w:tcPr>
          <w:p>
            <w:pPr>
              <w:pStyle w:val="0"/>
            </w:pPr>
            <w:r>
              <w:rPr>
                <w:sz w:val="20"/>
              </w:rPr>
              <w:t xml:space="preserve">Противопожарный разрыв (черный)</w:t>
            </w:r>
          </w:p>
        </w:tc>
      </w:tr>
      <w:tr>
        <w:tc>
          <w:tcPr>
            <w:tcW w:w="567" w:type="dxa"/>
            <w:vAlign w:val="center"/>
          </w:tcPr>
          <w:p>
            <w:pPr>
              <w:pStyle w:val="0"/>
              <w:jc w:val="center"/>
            </w:pPr>
            <w:r>
              <w:rPr>
                <w:sz w:val="20"/>
              </w:rPr>
              <w:t xml:space="preserve">82.</w:t>
            </w:r>
          </w:p>
        </w:tc>
        <w:tc>
          <w:tcPr>
            <w:tcW w:w="2210" w:type="dxa"/>
          </w:tcPr>
          <w:p>
            <w:pPr>
              <w:pStyle w:val="0"/>
              <w:jc w:val="right"/>
            </w:pPr>
            <w:r>
              <w:rPr>
                <w:position w:val="-4"/>
              </w:rPr>
              <w:drawing>
                <wp:inline distT="0" distB="0" distL="0" distR="0">
                  <wp:extent cx="787400" cy="177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787400" cy="177800"/>
                          </a:xfrm>
                          <a:prstGeom prst="rect">
                            <a:avLst/>
                          </a:prstGeom>
                          <a:noFill/>
                          <a:ln>
                            <a:noFill/>
                          </a:ln>
                        </pic:spPr>
                      </pic:pic>
                    </a:graphicData>
                  </a:graphic>
                </wp:inline>
              </w:drawing>
            </w:r>
          </w:p>
        </w:tc>
        <w:tc>
          <w:tcPr>
            <w:tcW w:w="6292" w:type="dxa"/>
          </w:tcPr>
          <w:p>
            <w:pPr>
              <w:pStyle w:val="0"/>
            </w:pPr>
            <w:r>
              <w:rPr>
                <w:sz w:val="20"/>
              </w:rPr>
              <w:t xml:space="preserve">Противопожарный барьер из лиственных пород (черный)</w:t>
            </w:r>
          </w:p>
        </w:tc>
      </w:tr>
      <w:tr>
        <w:tc>
          <w:tcPr>
            <w:tcW w:w="567" w:type="dxa"/>
            <w:vAlign w:val="center"/>
          </w:tcPr>
          <w:p>
            <w:pPr>
              <w:pStyle w:val="0"/>
              <w:jc w:val="center"/>
            </w:pPr>
            <w:r>
              <w:rPr>
                <w:sz w:val="20"/>
              </w:rPr>
              <w:t xml:space="preserve">83.</w:t>
            </w:r>
          </w:p>
        </w:tc>
        <w:tc>
          <w:tcPr>
            <w:tcW w:w="2210" w:type="dxa"/>
          </w:tcPr>
          <w:p>
            <w:pPr>
              <w:pStyle w:val="0"/>
              <w:jc w:val="right"/>
            </w:pPr>
            <w:r>
              <w:rPr>
                <w:position w:val="-60"/>
              </w:rPr>
              <w:drawing>
                <wp:inline distT="0" distB="0" distL="0" distR="0">
                  <wp:extent cx="642620" cy="8966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642620" cy="896620"/>
                          </a:xfrm>
                          <a:prstGeom prst="rect">
                            <a:avLst/>
                          </a:prstGeom>
                          <a:noFill/>
                          <a:ln>
                            <a:noFill/>
                          </a:ln>
                        </pic:spPr>
                      </pic:pic>
                    </a:graphicData>
                  </a:graphic>
                </wp:inline>
              </w:drawing>
            </w:r>
          </w:p>
        </w:tc>
        <w:tc>
          <w:tcPr>
            <w:tcW w:w="6292" w:type="dxa"/>
          </w:tcPr>
          <w:p>
            <w:pPr>
              <w:pStyle w:val="0"/>
            </w:pPr>
            <w:r>
              <w:rPr>
                <w:sz w:val="20"/>
              </w:rPr>
              <w:t xml:space="preserve">Место проведения профилактического выжигания (коричневый)</w:t>
            </w:r>
          </w:p>
        </w:tc>
      </w:tr>
      <w:tr>
        <w:tc>
          <w:tcPr>
            <w:tcW w:w="567" w:type="dxa"/>
            <w:vAlign w:val="center"/>
          </w:tcPr>
          <w:p>
            <w:pPr>
              <w:pStyle w:val="0"/>
              <w:jc w:val="center"/>
            </w:pPr>
            <w:r>
              <w:rPr>
                <w:sz w:val="20"/>
              </w:rPr>
              <w:t xml:space="preserve">84.</w:t>
            </w:r>
          </w:p>
        </w:tc>
        <w:tc>
          <w:tcPr>
            <w:tcW w:w="2210" w:type="dxa"/>
          </w:tcPr>
          <w:p>
            <w:pPr>
              <w:pStyle w:val="0"/>
              <w:jc w:val="right"/>
            </w:pPr>
            <w:r>
              <w:rPr>
                <w:position w:val="-7"/>
              </w:rPr>
              <w:drawing>
                <wp:inline distT="0" distB="0" distL="0" distR="0">
                  <wp:extent cx="793750"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793750" cy="227965"/>
                          </a:xfrm>
                          <a:prstGeom prst="rect">
                            <a:avLst/>
                          </a:prstGeom>
                          <a:noFill/>
                          <a:ln>
                            <a:noFill/>
                          </a:ln>
                        </pic:spPr>
                      </pic:pic>
                    </a:graphicData>
                  </a:graphic>
                </wp:inline>
              </w:drawing>
            </w:r>
          </w:p>
        </w:tc>
        <w:tc>
          <w:tcPr>
            <w:tcW w:w="6292" w:type="dxa"/>
          </w:tcPr>
          <w:p>
            <w:pPr>
              <w:pStyle w:val="0"/>
            </w:pPr>
            <w:r>
              <w:rPr>
                <w:sz w:val="20"/>
              </w:rPr>
              <w:t xml:space="preserve">Зона действия подразделений лесопожарной станции (коричневый)</w:t>
            </w:r>
          </w:p>
        </w:tc>
      </w:tr>
      <w:tr>
        <w:tc>
          <w:tcPr>
            <w:tcW w:w="567" w:type="dxa"/>
            <w:vAlign w:val="center"/>
          </w:tcPr>
          <w:p>
            <w:pPr>
              <w:pStyle w:val="0"/>
              <w:jc w:val="center"/>
            </w:pPr>
            <w:r>
              <w:rPr>
                <w:sz w:val="20"/>
              </w:rPr>
              <w:t xml:space="preserve">85.</w:t>
            </w:r>
          </w:p>
        </w:tc>
        <w:tc>
          <w:tcPr>
            <w:tcW w:w="2210" w:type="dxa"/>
          </w:tcPr>
          <w:p>
            <w:pPr>
              <w:pStyle w:val="0"/>
              <w:jc w:val="right"/>
            </w:pPr>
            <w:r>
              <w:rPr>
                <w:position w:val="-15"/>
              </w:rPr>
              <w:drawing>
                <wp:inline distT="0" distB="0" distL="0" distR="0">
                  <wp:extent cx="709930" cy="3276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709930" cy="327660"/>
                          </a:xfrm>
                          <a:prstGeom prst="rect">
                            <a:avLst/>
                          </a:prstGeom>
                          <a:noFill/>
                          <a:ln>
                            <a:noFill/>
                          </a:ln>
                        </pic:spPr>
                      </pic:pic>
                    </a:graphicData>
                  </a:graphic>
                </wp:inline>
              </w:drawing>
            </w:r>
          </w:p>
        </w:tc>
        <w:tc>
          <w:tcPr>
            <w:tcW w:w="6292" w:type="dxa"/>
          </w:tcPr>
          <w:p>
            <w:pPr>
              <w:pStyle w:val="0"/>
            </w:pPr>
            <w:r>
              <w:rPr>
                <w:sz w:val="20"/>
              </w:rPr>
              <w:t xml:space="preserve">Зона действия подразделений авиаотделения (синий)</w:t>
            </w:r>
          </w:p>
        </w:tc>
      </w:tr>
      <w:tr>
        <w:tc>
          <w:tcPr>
            <w:tcW w:w="567" w:type="dxa"/>
            <w:vAlign w:val="center"/>
          </w:tcPr>
          <w:p>
            <w:pPr>
              <w:pStyle w:val="0"/>
              <w:jc w:val="center"/>
            </w:pPr>
            <w:r>
              <w:rPr>
                <w:sz w:val="20"/>
              </w:rPr>
              <w:t xml:space="preserve">86.</w:t>
            </w:r>
          </w:p>
        </w:tc>
        <w:tc>
          <w:tcPr>
            <w:tcW w:w="2210" w:type="dxa"/>
          </w:tcPr>
          <w:p>
            <w:pPr>
              <w:pStyle w:val="0"/>
              <w:jc w:val="right"/>
            </w:pPr>
            <w:r>
              <w:rPr>
                <w:position w:val="-30"/>
              </w:rPr>
              <w:drawing>
                <wp:inline distT="0" distB="0" distL="0" distR="0">
                  <wp:extent cx="800735" cy="509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800735" cy="509905"/>
                          </a:xfrm>
                          <a:prstGeom prst="rect">
                            <a:avLst/>
                          </a:prstGeom>
                          <a:noFill/>
                          <a:ln>
                            <a:noFill/>
                          </a:ln>
                        </pic:spPr>
                      </pic:pic>
                    </a:graphicData>
                  </a:graphic>
                </wp:inline>
              </w:drawing>
            </w:r>
          </w:p>
        </w:tc>
        <w:tc>
          <w:tcPr>
            <w:tcW w:w="6292" w:type="dxa"/>
          </w:tcPr>
          <w:p>
            <w:pPr>
              <w:pStyle w:val="0"/>
            </w:pPr>
            <w:r>
              <w:rPr>
                <w:sz w:val="20"/>
              </w:rPr>
              <w:t xml:space="preserve">Лесной пожар с контуром распространения на местности (красный)</w:t>
            </w:r>
          </w:p>
        </w:tc>
      </w:tr>
      <w:tr>
        <w:tc>
          <w:tcPr>
            <w:tcW w:w="567" w:type="dxa"/>
            <w:vAlign w:val="center"/>
          </w:tcPr>
          <w:p>
            <w:pPr>
              <w:pStyle w:val="0"/>
              <w:jc w:val="center"/>
            </w:pPr>
            <w:r>
              <w:rPr>
                <w:sz w:val="20"/>
              </w:rPr>
              <w:t xml:space="preserve">87.</w:t>
            </w:r>
          </w:p>
        </w:tc>
        <w:tc>
          <w:tcPr>
            <w:tcW w:w="2210" w:type="dxa"/>
          </w:tcPr>
          <w:p>
            <w:pPr>
              <w:pStyle w:val="0"/>
              <w:jc w:val="right"/>
            </w:pPr>
            <w:r>
              <w:rPr>
                <w:position w:val="-36"/>
              </w:rPr>
              <w:drawing>
                <wp:inline distT="0" distB="0" distL="0" distR="0">
                  <wp:extent cx="787400" cy="594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787400" cy="594995"/>
                          </a:xfrm>
                          <a:prstGeom prst="rect">
                            <a:avLst/>
                          </a:prstGeom>
                          <a:noFill/>
                          <a:ln>
                            <a:noFill/>
                          </a:ln>
                        </pic:spPr>
                      </pic:pic>
                    </a:graphicData>
                  </a:graphic>
                </wp:inline>
              </w:drawing>
            </w:r>
          </w:p>
        </w:tc>
        <w:tc>
          <w:tcPr>
            <w:tcW w:w="6292" w:type="dxa"/>
          </w:tcPr>
          <w:p>
            <w:pPr>
              <w:pStyle w:val="0"/>
            </w:pPr>
            <w:r>
              <w:rPr>
                <w:sz w:val="20"/>
              </w:rPr>
              <w:t xml:space="preserve">Почвенный (торфяной) пожар с контуром (красный)</w:t>
            </w:r>
          </w:p>
        </w:tc>
      </w:tr>
      <w:tr>
        <w:tc>
          <w:tcPr>
            <w:tcW w:w="567" w:type="dxa"/>
            <w:vAlign w:val="center"/>
          </w:tcPr>
          <w:p>
            <w:pPr>
              <w:pStyle w:val="0"/>
              <w:jc w:val="center"/>
            </w:pPr>
            <w:r>
              <w:rPr>
                <w:sz w:val="20"/>
              </w:rPr>
              <w:t xml:space="preserve">88.</w:t>
            </w:r>
          </w:p>
        </w:tc>
        <w:tc>
          <w:tcPr>
            <w:tcW w:w="2210" w:type="dxa"/>
          </w:tcPr>
          <w:p>
            <w:pPr>
              <w:pStyle w:val="0"/>
              <w:jc w:val="right"/>
            </w:pPr>
            <w:r>
              <w:rPr>
                <w:position w:val="-18"/>
              </w:rPr>
              <w:drawing>
                <wp:inline distT="0" distB="0" distL="0" distR="0">
                  <wp:extent cx="542925" cy="365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542925" cy="365125"/>
                          </a:xfrm>
                          <a:prstGeom prst="rect">
                            <a:avLst/>
                          </a:prstGeom>
                          <a:noFill/>
                          <a:ln>
                            <a:noFill/>
                          </a:ln>
                        </pic:spPr>
                      </pic:pic>
                    </a:graphicData>
                  </a:graphic>
                </wp:inline>
              </w:drawing>
            </w:r>
          </w:p>
        </w:tc>
        <w:tc>
          <w:tcPr>
            <w:tcW w:w="6292" w:type="dxa"/>
          </w:tcPr>
          <w:p>
            <w:pPr>
              <w:pStyle w:val="0"/>
            </w:pPr>
            <w:r>
              <w:rPr>
                <w:sz w:val="20"/>
              </w:rPr>
              <w:t xml:space="preserve">Отдельный природный (лесной) пожар на местности и направление его распространения (красный)</w:t>
            </w:r>
          </w:p>
        </w:tc>
      </w:tr>
      <w:tr>
        <w:tc>
          <w:tcPr>
            <w:tcW w:w="567" w:type="dxa"/>
            <w:vAlign w:val="center"/>
          </w:tcPr>
          <w:p>
            <w:pPr>
              <w:pStyle w:val="0"/>
              <w:jc w:val="center"/>
            </w:pPr>
            <w:r>
              <w:rPr>
                <w:sz w:val="20"/>
              </w:rPr>
              <w:t xml:space="preserve">89.</w:t>
            </w:r>
          </w:p>
        </w:tc>
        <w:tc>
          <w:tcPr>
            <w:tcW w:w="2210" w:type="dxa"/>
          </w:tcPr>
          <w:p>
            <w:pPr>
              <w:pStyle w:val="0"/>
              <w:jc w:val="right"/>
            </w:pPr>
            <w:r>
              <w:rPr>
                <w:position w:val="-20"/>
              </w:rPr>
              <w:drawing>
                <wp:inline distT="0" distB="0" distL="0" distR="0">
                  <wp:extent cx="537210" cy="3848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537210" cy="384810"/>
                          </a:xfrm>
                          <a:prstGeom prst="rect">
                            <a:avLst/>
                          </a:prstGeom>
                          <a:noFill/>
                          <a:ln>
                            <a:noFill/>
                          </a:ln>
                        </pic:spPr>
                      </pic:pic>
                    </a:graphicData>
                  </a:graphic>
                </wp:inline>
              </w:drawing>
            </w:r>
          </w:p>
        </w:tc>
        <w:tc>
          <w:tcPr>
            <w:tcW w:w="6292" w:type="dxa"/>
          </w:tcPr>
          <w:p>
            <w:pPr>
              <w:pStyle w:val="0"/>
            </w:pPr>
            <w:r>
              <w:rPr>
                <w:sz w:val="20"/>
              </w:rPr>
              <w:t xml:space="preserve">Основное направление распространения пожара (красный)</w:t>
            </w:r>
          </w:p>
        </w:tc>
      </w:tr>
      <w:tr>
        <w:tc>
          <w:tcPr>
            <w:tcW w:w="567" w:type="dxa"/>
            <w:vAlign w:val="center"/>
          </w:tcPr>
          <w:p>
            <w:pPr>
              <w:pStyle w:val="0"/>
              <w:jc w:val="center"/>
            </w:pPr>
            <w:r>
              <w:rPr>
                <w:sz w:val="20"/>
              </w:rPr>
              <w:t xml:space="preserve">90.</w:t>
            </w:r>
          </w:p>
        </w:tc>
        <w:tc>
          <w:tcPr>
            <w:tcW w:w="2210" w:type="dxa"/>
          </w:tcPr>
          <w:p>
            <w:pPr>
              <w:pStyle w:val="0"/>
              <w:jc w:val="right"/>
            </w:pPr>
            <w:r>
              <w:rPr>
                <w:position w:val="-61"/>
              </w:rPr>
              <w:drawing>
                <wp:inline distT="0" distB="0" distL="0" distR="0">
                  <wp:extent cx="650875" cy="907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650875" cy="907415"/>
                          </a:xfrm>
                          <a:prstGeom prst="rect">
                            <a:avLst/>
                          </a:prstGeom>
                          <a:noFill/>
                          <a:ln>
                            <a:noFill/>
                          </a:ln>
                        </pic:spPr>
                      </pic:pic>
                    </a:graphicData>
                  </a:graphic>
                </wp:inline>
              </w:drawing>
            </w:r>
          </w:p>
        </w:tc>
        <w:tc>
          <w:tcPr>
            <w:tcW w:w="6292" w:type="dxa"/>
          </w:tcPr>
          <w:p>
            <w:pPr>
              <w:pStyle w:val="0"/>
            </w:pPr>
            <w:r>
              <w:rPr>
                <w:sz w:val="20"/>
              </w:rPr>
              <w:t xml:space="preserve">Направление развития кромки пожара (красный)</w:t>
            </w:r>
          </w:p>
        </w:tc>
      </w:tr>
      <w:tr>
        <w:tc>
          <w:tcPr>
            <w:tcW w:w="567" w:type="dxa"/>
            <w:vAlign w:val="center"/>
          </w:tcPr>
          <w:p>
            <w:pPr>
              <w:pStyle w:val="0"/>
              <w:jc w:val="center"/>
            </w:pPr>
            <w:r>
              <w:rPr>
                <w:sz w:val="20"/>
              </w:rPr>
              <w:t xml:space="preserve">91.</w:t>
            </w:r>
          </w:p>
        </w:tc>
        <w:tc>
          <w:tcPr>
            <w:tcW w:w="2210" w:type="dxa"/>
          </w:tcPr>
          <w:p>
            <w:pPr>
              <w:pStyle w:val="0"/>
            </w:pPr>
            <w:r>
              <w:rPr>
                <w:position w:val="-84"/>
              </w:rPr>
              <w:drawing>
                <wp:inline distT="0" distB="0" distL="0" distR="0">
                  <wp:extent cx="784860" cy="11982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784860" cy="1198245"/>
                          </a:xfrm>
                          <a:prstGeom prst="rect">
                            <a:avLst/>
                          </a:prstGeom>
                          <a:noFill/>
                          <a:ln>
                            <a:noFill/>
                          </a:ln>
                        </pic:spPr>
                      </pic:pic>
                    </a:graphicData>
                  </a:graphic>
                </wp:inline>
              </w:drawing>
            </w:r>
          </w:p>
        </w:tc>
        <w:tc>
          <w:tcPr>
            <w:tcW w:w="6292" w:type="dxa"/>
          </w:tcPr>
          <w:p>
            <w:pPr>
              <w:pStyle w:val="0"/>
            </w:pPr>
            <w:r>
              <w:rPr>
                <w:sz w:val="20"/>
              </w:rPr>
              <w:t xml:space="preserve">Прогнозируемый контур распространения пожара (желтый)</w:t>
            </w:r>
          </w:p>
        </w:tc>
      </w:tr>
      <w:tr>
        <w:tc>
          <w:tcPr>
            <w:tcW w:w="567" w:type="dxa"/>
            <w:vAlign w:val="center"/>
          </w:tcPr>
          <w:p>
            <w:pPr>
              <w:pStyle w:val="0"/>
              <w:jc w:val="center"/>
            </w:pPr>
            <w:r>
              <w:rPr>
                <w:sz w:val="20"/>
              </w:rPr>
              <w:t xml:space="preserve">92.</w:t>
            </w:r>
          </w:p>
        </w:tc>
        <w:tc>
          <w:tcPr>
            <w:tcW w:w="2210" w:type="dxa"/>
          </w:tcPr>
          <w:p>
            <w:pPr>
              <w:pStyle w:val="0"/>
              <w:jc w:val="right"/>
            </w:pPr>
            <w:r>
              <w:rPr>
                <w:position w:val="-22"/>
              </w:rPr>
              <w:drawing>
                <wp:inline distT="0" distB="0" distL="0" distR="0">
                  <wp:extent cx="793750" cy="4178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793750" cy="417830"/>
                          </a:xfrm>
                          <a:prstGeom prst="rect">
                            <a:avLst/>
                          </a:prstGeom>
                          <a:noFill/>
                          <a:ln>
                            <a:noFill/>
                          </a:ln>
                        </pic:spPr>
                      </pic:pic>
                    </a:graphicData>
                  </a:graphic>
                </wp:inline>
              </w:drawing>
            </w:r>
          </w:p>
        </w:tc>
        <w:tc>
          <w:tcPr>
            <w:tcW w:w="6292" w:type="dxa"/>
          </w:tcPr>
          <w:p>
            <w:pPr>
              <w:pStyle w:val="0"/>
            </w:pPr>
            <w:r>
              <w:rPr>
                <w:sz w:val="20"/>
              </w:rPr>
              <w:t xml:space="preserve">Ветер и его направление (на схеме указывается в левом верхнем углу (черный)</w:t>
            </w:r>
          </w:p>
        </w:tc>
      </w:tr>
      <w:tr>
        <w:tc>
          <w:tcPr>
            <w:tcW w:w="567" w:type="dxa"/>
            <w:vAlign w:val="center"/>
          </w:tcPr>
          <w:p>
            <w:pPr>
              <w:pStyle w:val="0"/>
              <w:jc w:val="center"/>
            </w:pPr>
            <w:r>
              <w:rPr>
                <w:sz w:val="20"/>
              </w:rPr>
              <w:t xml:space="preserve">93.</w:t>
            </w:r>
          </w:p>
        </w:tc>
        <w:tc>
          <w:tcPr>
            <w:tcW w:w="2210" w:type="dxa"/>
          </w:tcPr>
          <w:p>
            <w:pPr>
              <w:pStyle w:val="0"/>
              <w:jc w:val="right"/>
            </w:pPr>
            <w:r>
              <w:rPr>
                <w:position w:val="-34"/>
              </w:rPr>
              <w:drawing>
                <wp:inline distT="0" distB="0" distL="0" distR="0">
                  <wp:extent cx="541655" cy="561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541655" cy="561340"/>
                          </a:xfrm>
                          <a:prstGeom prst="rect">
                            <a:avLst/>
                          </a:prstGeom>
                          <a:noFill/>
                          <a:ln>
                            <a:noFill/>
                          </a:ln>
                        </pic:spPr>
                      </pic:pic>
                    </a:graphicData>
                  </a:graphic>
                </wp:inline>
              </w:drawing>
            </w:r>
          </w:p>
        </w:tc>
        <w:tc>
          <w:tcPr>
            <w:tcW w:w="6292" w:type="dxa"/>
          </w:tcPr>
          <w:p>
            <w:pPr>
              <w:pStyle w:val="0"/>
            </w:pPr>
            <w:r>
              <w:rPr>
                <w:sz w:val="20"/>
              </w:rPr>
              <w:t xml:space="preserve">Метеостанция постоянная (черный), метеопост временный (красным)</w:t>
            </w:r>
          </w:p>
        </w:tc>
      </w:tr>
      <w:tr>
        <w:tc>
          <w:tcPr>
            <w:tcW w:w="567" w:type="dxa"/>
            <w:vAlign w:val="center"/>
          </w:tcPr>
          <w:p>
            <w:pPr>
              <w:pStyle w:val="0"/>
              <w:jc w:val="center"/>
            </w:pPr>
            <w:r>
              <w:rPr>
                <w:sz w:val="20"/>
              </w:rPr>
              <w:t xml:space="preserve">94.</w:t>
            </w:r>
          </w:p>
        </w:tc>
        <w:tc>
          <w:tcPr>
            <w:tcW w:w="2210" w:type="dxa"/>
          </w:tcPr>
          <w:p>
            <w:pPr>
              <w:pStyle w:val="0"/>
              <w:jc w:val="right"/>
            </w:pPr>
            <w:r>
              <w:rPr>
                <w:position w:val="-50"/>
              </w:rPr>
              <w:drawing>
                <wp:inline distT="0" distB="0" distL="0" distR="0">
                  <wp:extent cx="643890" cy="764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643890" cy="764540"/>
                          </a:xfrm>
                          <a:prstGeom prst="rect">
                            <a:avLst/>
                          </a:prstGeom>
                          <a:noFill/>
                          <a:ln>
                            <a:noFill/>
                          </a:ln>
                        </pic:spPr>
                      </pic:pic>
                    </a:graphicData>
                  </a:graphic>
                </wp:inline>
              </w:drawing>
            </w:r>
          </w:p>
        </w:tc>
        <w:tc>
          <w:tcPr>
            <w:tcW w:w="6292" w:type="dxa"/>
          </w:tcPr>
          <w:p>
            <w:pPr>
              <w:pStyle w:val="0"/>
            </w:pPr>
            <w:r>
              <w:rPr>
                <w:sz w:val="20"/>
              </w:rPr>
              <w:t xml:space="preserve">Квартальная сеть (зеленым), номер квартала (выдела), площадь (зеленым)</w:t>
            </w:r>
          </w:p>
        </w:tc>
      </w:tr>
      <w:tr>
        <w:tc>
          <w:tcPr>
            <w:tcW w:w="567" w:type="dxa"/>
            <w:vAlign w:val="center"/>
          </w:tcPr>
          <w:p>
            <w:pPr>
              <w:pStyle w:val="0"/>
              <w:jc w:val="center"/>
            </w:pPr>
            <w:r>
              <w:rPr>
                <w:sz w:val="20"/>
              </w:rPr>
              <w:t xml:space="preserve">95.</w:t>
            </w:r>
          </w:p>
        </w:tc>
        <w:tc>
          <w:tcPr>
            <w:tcW w:w="2210" w:type="dxa"/>
          </w:tcPr>
          <w:p>
            <w:pPr>
              <w:pStyle w:val="0"/>
              <w:jc w:val="right"/>
            </w:pPr>
            <w:r>
              <w:rPr>
                <w:position w:val="-31"/>
              </w:rPr>
              <w:drawing>
                <wp:inline distT="0" distB="0" distL="0" distR="0">
                  <wp:extent cx="536575" cy="529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536575" cy="529590"/>
                          </a:xfrm>
                          <a:prstGeom prst="rect">
                            <a:avLst/>
                          </a:prstGeom>
                          <a:noFill/>
                          <a:ln>
                            <a:noFill/>
                          </a:ln>
                        </pic:spPr>
                      </pic:pic>
                    </a:graphicData>
                  </a:graphic>
                </wp:inline>
              </w:drawing>
            </w:r>
          </w:p>
        </w:tc>
        <w:tc>
          <w:tcPr>
            <w:tcW w:w="6292" w:type="dxa"/>
          </w:tcPr>
          <w:p>
            <w:pPr>
              <w:pStyle w:val="0"/>
            </w:pPr>
            <w:r>
              <w:rPr>
                <w:sz w:val="20"/>
              </w:rPr>
              <w:t xml:space="preserve">Лесничество (зеленый) </w:t>
            </w:r>
            <w:hyperlink w:history="0" w:anchor="P615" w:tooltip="&lt;4&gt; Зеленый цвет используется для данных символов для отображения тактической обстановки на схемах тушения;">
              <w:r>
                <w:rPr>
                  <w:sz w:val="20"/>
                  <w:color w:val="0000ff"/>
                </w:rPr>
                <w:t xml:space="preserve">&lt;4&gt;</w:t>
              </w:r>
            </w:hyperlink>
          </w:p>
        </w:tc>
      </w:tr>
      <w:tr>
        <w:tc>
          <w:tcPr>
            <w:tcW w:w="567" w:type="dxa"/>
            <w:vAlign w:val="center"/>
          </w:tcPr>
          <w:p>
            <w:pPr>
              <w:pStyle w:val="0"/>
              <w:jc w:val="center"/>
            </w:pPr>
            <w:r>
              <w:rPr>
                <w:sz w:val="20"/>
              </w:rPr>
              <w:t xml:space="preserve">96.</w:t>
            </w:r>
          </w:p>
        </w:tc>
        <w:tc>
          <w:tcPr>
            <w:tcW w:w="2210" w:type="dxa"/>
          </w:tcPr>
          <w:p>
            <w:pPr>
              <w:pStyle w:val="0"/>
              <w:jc w:val="right"/>
            </w:pPr>
            <w:r>
              <w:rPr>
                <w:position w:val="-20"/>
              </w:rPr>
              <w:drawing>
                <wp:inline distT="0" distB="0" distL="0" distR="0">
                  <wp:extent cx="538480"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538480" cy="392430"/>
                          </a:xfrm>
                          <a:prstGeom prst="rect">
                            <a:avLst/>
                          </a:prstGeom>
                          <a:noFill/>
                          <a:ln>
                            <a:noFill/>
                          </a:ln>
                        </pic:spPr>
                      </pic:pic>
                    </a:graphicData>
                  </a:graphic>
                </wp:inline>
              </w:drawing>
            </w:r>
          </w:p>
        </w:tc>
        <w:tc>
          <w:tcPr>
            <w:tcW w:w="6292" w:type="dxa"/>
          </w:tcPr>
          <w:p>
            <w:pPr>
              <w:pStyle w:val="0"/>
            </w:pPr>
            <w:r>
              <w:rPr>
                <w:sz w:val="20"/>
              </w:rPr>
              <w:t xml:space="preserve">Участковое лесничество (зеленый) </w:t>
            </w:r>
            <w:hyperlink w:history="0" w:anchor="P615" w:tooltip="&lt;4&gt; Зеленый цвет используется для данных символов для отображения тактической обстановки на схемах тушения;">
              <w:r>
                <w:rPr>
                  <w:sz w:val="20"/>
                  <w:color w:val="0000ff"/>
                </w:rPr>
                <w:t xml:space="preserve">&lt;4&gt;</w:t>
              </w:r>
            </w:hyperlink>
          </w:p>
        </w:tc>
      </w:tr>
      <w:tr>
        <w:tc>
          <w:tcPr>
            <w:tcW w:w="567" w:type="dxa"/>
            <w:vAlign w:val="center"/>
          </w:tcPr>
          <w:p>
            <w:pPr>
              <w:pStyle w:val="0"/>
              <w:jc w:val="center"/>
            </w:pPr>
            <w:r>
              <w:rPr>
                <w:sz w:val="20"/>
              </w:rPr>
              <w:t xml:space="preserve">97.</w:t>
            </w:r>
          </w:p>
        </w:tc>
        <w:tc>
          <w:tcPr>
            <w:tcW w:w="2210" w:type="dxa"/>
          </w:tcPr>
          <w:p>
            <w:pPr>
              <w:pStyle w:val="0"/>
              <w:jc w:val="right"/>
            </w:pPr>
            <w:r>
              <w:rPr>
                <w:position w:val="-27"/>
              </w:rPr>
              <w:drawing>
                <wp:inline distT="0" distB="0" distL="0" distR="0">
                  <wp:extent cx="542925" cy="4705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542925" cy="470535"/>
                          </a:xfrm>
                          <a:prstGeom prst="rect">
                            <a:avLst/>
                          </a:prstGeom>
                          <a:noFill/>
                          <a:ln>
                            <a:noFill/>
                          </a:ln>
                        </pic:spPr>
                      </pic:pic>
                    </a:graphicData>
                  </a:graphic>
                </wp:inline>
              </w:drawing>
            </w:r>
          </w:p>
        </w:tc>
        <w:tc>
          <w:tcPr>
            <w:tcW w:w="6292" w:type="dxa"/>
          </w:tcPr>
          <w:p>
            <w:pPr>
              <w:pStyle w:val="0"/>
            </w:pPr>
            <w:r>
              <w:rPr>
                <w:sz w:val="20"/>
              </w:rPr>
              <w:t xml:space="preserve">Лесной кордон (зеленый) </w:t>
            </w:r>
            <w:hyperlink w:history="0" w:anchor="P615" w:tooltip="&lt;4&gt; Зеленый цвет используется для данных символов для отображения тактической обстановки на схемах тушения;">
              <w:r>
                <w:rPr>
                  <w:sz w:val="20"/>
                  <w:color w:val="0000ff"/>
                </w:rPr>
                <w:t xml:space="preserve">&lt;4&gt;</w:t>
              </w:r>
            </w:hyperlink>
          </w:p>
        </w:tc>
      </w:tr>
      <w:tr>
        <w:tc>
          <w:tcPr>
            <w:tcW w:w="567" w:type="dxa"/>
            <w:vAlign w:val="center"/>
          </w:tcPr>
          <w:p>
            <w:pPr>
              <w:pStyle w:val="0"/>
              <w:jc w:val="center"/>
            </w:pPr>
            <w:r>
              <w:rPr>
                <w:sz w:val="20"/>
              </w:rPr>
              <w:t xml:space="preserve">98.</w:t>
            </w:r>
          </w:p>
        </w:tc>
        <w:tc>
          <w:tcPr>
            <w:tcW w:w="2210" w:type="dxa"/>
          </w:tcPr>
          <w:p>
            <w:pPr>
              <w:pStyle w:val="0"/>
              <w:jc w:val="right"/>
            </w:pPr>
            <w:r>
              <w:rPr>
                <w:position w:val="-33"/>
              </w:rPr>
              <w:drawing>
                <wp:inline distT="0" distB="0" distL="0" distR="0">
                  <wp:extent cx="537210" cy="5480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537210" cy="548005"/>
                          </a:xfrm>
                          <a:prstGeom prst="rect">
                            <a:avLst/>
                          </a:prstGeom>
                          <a:noFill/>
                          <a:ln>
                            <a:noFill/>
                          </a:ln>
                        </pic:spPr>
                      </pic:pic>
                    </a:graphicData>
                  </a:graphic>
                </wp:inline>
              </w:drawing>
            </w:r>
          </w:p>
        </w:tc>
        <w:tc>
          <w:tcPr>
            <w:tcW w:w="6292" w:type="dxa"/>
          </w:tcPr>
          <w:p>
            <w:pPr>
              <w:pStyle w:val="0"/>
            </w:pPr>
            <w:r>
              <w:rPr>
                <w:sz w:val="20"/>
              </w:rPr>
              <w:t xml:space="preserve">Пункт обеспечения: Г - горюче-смазочными материалами, П - питанием, Т - технической помощи, с красным крестом - медицинским обеспечением (знак - красный, буква - черный)</w:t>
            </w:r>
          </w:p>
        </w:tc>
      </w:tr>
      <w:tr>
        <w:tc>
          <w:tcPr>
            <w:tcW w:w="567" w:type="dxa"/>
            <w:vAlign w:val="center"/>
          </w:tcPr>
          <w:p>
            <w:pPr>
              <w:pStyle w:val="0"/>
              <w:jc w:val="center"/>
            </w:pPr>
            <w:r>
              <w:rPr>
                <w:sz w:val="20"/>
              </w:rPr>
              <w:t xml:space="preserve">99.</w:t>
            </w:r>
          </w:p>
        </w:tc>
        <w:tc>
          <w:tcPr>
            <w:tcW w:w="2210" w:type="dxa"/>
          </w:tcPr>
          <w:p>
            <w:pPr>
              <w:pStyle w:val="0"/>
              <w:jc w:val="right"/>
            </w:pPr>
            <w:r>
              <w:rPr>
                <w:position w:val="-76"/>
              </w:rPr>
              <w:drawing>
                <wp:inline distT="0" distB="0" distL="0" distR="0">
                  <wp:extent cx="646430" cy="1095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646430" cy="1095375"/>
                          </a:xfrm>
                          <a:prstGeom prst="rect">
                            <a:avLst/>
                          </a:prstGeom>
                          <a:noFill/>
                          <a:ln>
                            <a:noFill/>
                          </a:ln>
                        </pic:spPr>
                      </pic:pic>
                    </a:graphicData>
                  </a:graphic>
                </wp:inline>
              </w:drawing>
            </w:r>
          </w:p>
        </w:tc>
        <w:tc>
          <w:tcPr>
            <w:tcW w:w="6292" w:type="dxa"/>
          </w:tcPr>
          <w:p>
            <w:pPr>
              <w:pStyle w:val="0"/>
            </w:pPr>
            <w:r>
              <w:rPr>
                <w:sz w:val="20"/>
              </w:rPr>
              <w:t xml:space="preserve">Локализованная часть кромки лесного пожара (красный)</w:t>
            </w:r>
          </w:p>
        </w:tc>
      </w:tr>
      <w:tr>
        <w:tc>
          <w:tcPr>
            <w:tcW w:w="567" w:type="dxa"/>
            <w:vAlign w:val="center"/>
          </w:tcPr>
          <w:p>
            <w:pPr>
              <w:pStyle w:val="0"/>
              <w:jc w:val="center"/>
            </w:pPr>
            <w:r>
              <w:rPr>
                <w:sz w:val="20"/>
              </w:rPr>
              <w:t xml:space="preserve">100.</w:t>
            </w:r>
          </w:p>
        </w:tc>
        <w:tc>
          <w:tcPr>
            <w:tcW w:w="2210" w:type="dxa"/>
          </w:tcPr>
          <w:p>
            <w:pPr>
              <w:pStyle w:val="0"/>
              <w:jc w:val="right"/>
            </w:pPr>
            <w:r>
              <w:rPr>
                <w:position w:val="-135"/>
              </w:rPr>
              <w:drawing>
                <wp:inline distT="0" distB="0" distL="0" distR="0">
                  <wp:extent cx="646430" cy="1844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646430" cy="1844675"/>
                          </a:xfrm>
                          <a:prstGeom prst="rect">
                            <a:avLst/>
                          </a:prstGeom>
                          <a:noFill/>
                          <a:ln>
                            <a:noFill/>
                          </a:ln>
                        </pic:spPr>
                      </pic:pic>
                    </a:graphicData>
                  </a:graphic>
                </wp:inline>
              </w:drawing>
            </w:r>
          </w:p>
        </w:tc>
        <w:tc>
          <w:tcPr>
            <w:tcW w:w="6292" w:type="dxa"/>
          </w:tcPr>
          <w:p>
            <w:pPr>
              <w:pStyle w:val="0"/>
            </w:pPr>
            <w:r>
              <w:rPr>
                <w:sz w:val="20"/>
              </w:rPr>
              <w:t xml:space="preserve">Границы территории, на которой осуществляются действия по тушению лесного пожара (желтым) </w:t>
            </w:r>
            <w:hyperlink w:history="0" w:anchor="P616" w:tooltip="&lt;5&gt; Указывается желтым цветом на схемах тушения в случаях, если границы территории, на которой осуществляются действия по тушению лесного пожара, устанавливаются далее 500 метров от границы пожара и (или) мест проведения мероприятий по тушению пожара.">
              <w:r>
                <w:rPr>
                  <w:sz w:val="20"/>
                  <w:color w:val="0000ff"/>
                </w:rPr>
                <w:t xml:space="preserve">&lt;5&gt;</w:t>
              </w:r>
            </w:hyperlink>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Примечания:</w:t>
      </w:r>
    </w:p>
    <w:bookmarkStart w:id="612" w:name="P612"/>
    <w:bookmarkEnd w:id="612"/>
    <w:p>
      <w:pPr>
        <w:pStyle w:val="0"/>
        <w:spacing w:before="200" w:line-rule="auto"/>
        <w:ind w:firstLine="540"/>
        <w:jc w:val="both"/>
      </w:pPr>
      <w:r>
        <w:rPr>
          <w:sz w:val="20"/>
        </w:rPr>
        <w:t xml:space="preserve">&lt;1&gt; При необходимости внутри знака красным цветом указывается номер пожара;</w:t>
      </w:r>
    </w:p>
    <w:bookmarkStart w:id="613" w:name="P613"/>
    <w:bookmarkEnd w:id="613"/>
    <w:p>
      <w:pPr>
        <w:pStyle w:val="0"/>
        <w:spacing w:before="200" w:line-rule="auto"/>
        <w:ind w:firstLine="540"/>
        <w:jc w:val="both"/>
      </w:pPr>
      <w:r>
        <w:rPr>
          <w:sz w:val="20"/>
        </w:rPr>
        <w:t xml:space="preserve">&lt;2&gt; При необходимости красным цветом указывается текстом справа от символа планируемое время работы (дата и время);</w:t>
      </w:r>
    </w:p>
    <w:bookmarkStart w:id="614" w:name="P614"/>
    <w:bookmarkEnd w:id="614"/>
    <w:p>
      <w:pPr>
        <w:pStyle w:val="0"/>
        <w:spacing w:before="200" w:line-rule="auto"/>
        <w:ind w:firstLine="540"/>
        <w:jc w:val="both"/>
      </w:pPr>
      <w:r>
        <w:rPr>
          <w:sz w:val="20"/>
        </w:rPr>
        <w:t xml:space="preserve">&lt;3&gt; При необходимости красным цветом указываются текстом справа от символа плановое время проведения полетов и рабочая высота;</w:t>
      </w:r>
    </w:p>
    <w:bookmarkStart w:id="615" w:name="P615"/>
    <w:bookmarkEnd w:id="615"/>
    <w:p>
      <w:pPr>
        <w:pStyle w:val="0"/>
        <w:spacing w:before="200" w:line-rule="auto"/>
        <w:ind w:firstLine="540"/>
        <w:jc w:val="both"/>
      </w:pPr>
      <w:r>
        <w:rPr>
          <w:sz w:val="20"/>
        </w:rPr>
        <w:t xml:space="preserve">&lt;4&gt; Зеленый цвет используется для данных символов для отображения тактической обстановки на схемах тушения;</w:t>
      </w:r>
    </w:p>
    <w:bookmarkStart w:id="616" w:name="P616"/>
    <w:bookmarkEnd w:id="616"/>
    <w:p>
      <w:pPr>
        <w:pStyle w:val="0"/>
        <w:spacing w:before="200" w:line-rule="auto"/>
        <w:ind w:firstLine="540"/>
        <w:jc w:val="both"/>
      </w:pPr>
      <w:r>
        <w:rPr>
          <w:sz w:val="20"/>
        </w:rPr>
        <w:t xml:space="preserve">&lt;5&gt; Указывается желтым цветом на схемах тушения в случаях, если границы территории, на которой осуществляются действия по тушению лесного пожара, устанавливаются далее 500 метров от границы пожара и (или) мест проведения мероприятий по тушению пожара.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01.04.2022 N 244</w:t>
            <w:br/>
            <w:t>"Об утверждении Правил тушения лесных пожаров"</w:t>
            <w:br/>
            <w:t>(Зарегистрировано в Минюсте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0012&amp;dst=100905" TargetMode = "External"/>
	<Relationship Id="rId8" Type="http://schemas.openxmlformats.org/officeDocument/2006/relationships/hyperlink" Target="https://login.consultant.ru/link/?req=doc&amp;base=LAW&amp;n=504050&amp;dst=100166" TargetMode = "External"/>
	<Relationship Id="rId9" Type="http://schemas.openxmlformats.org/officeDocument/2006/relationships/hyperlink" Target="https://login.consultant.ru/link/?req=doc&amp;base=LAW&amp;n=216844" TargetMode = "External"/>
	<Relationship Id="rId10" Type="http://schemas.openxmlformats.org/officeDocument/2006/relationships/hyperlink" Target="https://login.consultant.ru/link/?req=doc&amp;base=LAW&amp;n=480012&amp;dst=100905" TargetMode = "External"/>
	<Relationship Id="rId11" Type="http://schemas.openxmlformats.org/officeDocument/2006/relationships/hyperlink" Target="https://login.consultant.ru/link/?req=doc&amp;base=LAW&amp;n=489137&amp;dst=385" TargetMode = "External"/>
	<Relationship Id="rId12" Type="http://schemas.openxmlformats.org/officeDocument/2006/relationships/hyperlink" Target="https://login.consultant.ru/link/?req=doc&amp;base=LAW&amp;n=477377&amp;dst=153" TargetMode = "External"/>
	<Relationship Id="rId13" Type="http://schemas.openxmlformats.org/officeDocument/2006/relationships/hyperlink" Target="https://login.consultant.ru/link/?req=doc&amp;base=LAW&amp;n=480012&amp;dst=101109" TargetMode = "External"/>
	<Relationship Id="rId14" Type="http://schemas.openxmlformats.org/officeDocument/2006/relationships/hyperlink" Target="https://login.consultant.ru/link/?req=doc&amp;base=LAW&amp;n=480012&amp;dst=100562" TargetMode = "External"/>
	<Relationship Id="rId15" Type="http://schemas.openxmlformats.org/officeDocument/2006/relationships/hyperlink" Target="https://login.consultant.ru/link/?req=doc&amp;base=LAW&amp;n=480012&amp;dst=1353" TargetMode = "External"/>
	<Relationship Id="rId16" Type="http://schemas.openxmlformats.org/officeDocument/2006/relationships/hyperlink" Target="https://login.consultant.ru/link/?req=doc&amp;base=LAW&amp;n=480012&amp;dst=1355" TargetMode = "External"/>
	<Relationship Id="rId17" Type="http://schemas.openxmlformats.org/officeDocument/2006/relationships/hyperlink" Target="https://login.consultant.ru/link/?req=doc&amp;base=LAW&amp;n=489137&amp;dst=385" TargetMode = "External"/>
	<Relationship Id="rId18" Type="http://schemas.openxmlformats.org/officeDocument/2006/relationships/hyperlink" Target="https://login.consultant.ru/link/?req=doc&amp;base=LAW&amp;n=284163&amp;dst=100012" TargetMode = "External"/>
	<Relationship Id="rId19" Type="http://schemas.openxmlformats.org/officeDocument/2006/relationships/hyperlink" Target="https://login.consultant.ru/link/?req=doc&amp;base=LAW&amp;n=506583" TargetMode = "External"/>
	<Relationship Id="rId20" Type="http://schemas.openxmlformats.org/officeDocument/2006/relationships/hyperlink" Target="https://login.consultant.ru/link/?req=doc&amp;base=LAW&amp;n=214709&amp;dst=100049" TargetMode = "External"/>
	<Relationship Id="rId21" Type="http://schemas.openxmlformats.org/officeDocument/2006/relationships/hyperlink" Target="https://login.consultant.ru/link/?req=doc&amp;base=LAW&amp;n=196646" TargetMode = "External"/>
	<Relationship Id="rId22" Type="http://schemas.openxmlformats.org/officeDocument/2006/relationships/hyperlink" Target="https://login.consultant.ru/link/?req=doc&amp;base=LAW&amp;n=479551" TargetMode = "External"/>
	<Relationship Id="rId23" Type="http://schemas.openxmlformats.org/officeDocument/2006/relationships/hyperlink" Target="https://login.consultant.ru/link/?req=doc&amp;base=LAW&amp;n=506583&amp;dst=100025" TargetMode = "External"/>
	<Relationship Id="rId24" Type="http://schemas.openxmlformats.org/officeDocument/2006/relationships/hyperlink" Target="https://login.consultant.ru/link/?req=doc&amp;base=LAW&amp;n=421464&amp;dst=100073" TargetMode = "External"/>
	<Relationship Id="rId25" Type="http://schemas.openxmlformats.org/officeDocument/2006/relationships/hyperlink" Target="https://login.consultant.ru/link/?req=doc&amp;base=LAW&amp;n=442434&amp;dst=100111" TargetMode = "External"/>
	<Relationship Id="rId26" Type="http://schemas.openxmlformats.org/officeDocument/2006/relationships/hyperlink" Target="https://login.consultant.ru/link/?req=doc&amp;base=LAW&amp;n=90936&amp;dst=100015" TargetMode = "External"/>
	<Relationship Id="rId27" Type="http://schemas.openxmlformats.org/officeDocument/2006/relationships/hyperlink" Target="https://login.consultant.ru/link/?req=doc&amp;base=LAW&amp;n=154412&amp;dst=100012" TargetMode = "External"/>
	<Relationship Id="rId28" Type="http://schemas.openxmlformats.org/officeDocument/2006/relationships/hyperlink" Target="https://login.consultant.ru/link/?req=doc&amp;base=LAW&amp;n=90936&amp;dst=100015" TargetMode = "External"/>
	<Relationship Id="rId29" Type="http://schemas.openxmlformats.org/officeDocument/2006/relationships/image" Target="media/image2.png"/>
	<Relationship Id="rId30" Type="http://schemas.openxmlformats.org/officeDocument/2006/relationships/image" Target="media/image3.png"/>
	<Relationship Id="rId31" Type="http://schemas.openxmlformats.org/officeDocument/2006/relationships/image" Target="media/image4.png"/>
	<Relationship Id="rId32" Type="http://schemas.openxmlformats.org/officeDocument/2006/relationships/image" Target="media/image5.png"/>
	<Relationship Id="rId33" Type="http://schemas.openxmlformats.org/officeDocument/2006/relationships/image" Target="media/image6.png"/>
	<Relationship Id="rId34" Type="http://schemas.openxmlformats.org/officeDocument/2006/relationships/image" Target="media/image7.png"/>
	<Relationship Id="rId35" Type="http://schemas.openxmlformats.org/officeDocument/2006/relationships/image" Target="media/image8.png"/>
	<Relationship Id="rId36" Type="http://schemas.openxmlformats.org/officeDocument/2006/relationships/image" Target="media/image9.png"/>
	<Relationship Id="rId37" Type="http://schemas.openxmlformats.org/officeDocument/2006/relationships/image" Target="media/image10.png"/>
	<Relationship Id="rId38" Type="http://schemas.openxmlformats.org/officeDocument/2006/relationships/image" Target="media/image11.png"/>
	<Relationship Id="rId39" Type="http://schemas.openxmlformats.org/officeDocument/2006/relationships/image" Target="media/image12.png"/>
	<Relationship Id="rId40" Type="http://schemas.openxmlformats.org/officeDocument/2006/relationships/image" Target="media/image13.png"/>
	<Relationship Id="rId41" Type="http://schemas.openxmlformats.org/officeDocument/2006/relationships/image" Target="media/image14.png"/>
	<Relationship Id="rId42" Type="http://schemas.openxmlformats.org/officeDocument/2006/relationships/image" Target="media/image15.png"/>
	<Relationship Id="rId43" Type="http://schemas.openxmlformats.org/officeDocument/2006/relationships/image" Target="media/image16.png"/>
	<Relationship Id="rId44" Type="http://schemas.openxmlformats.org/officeDocument/2006/relationships/image" Target="media/image17.png"/>
	<Relationship Id="rId45" Type="http://schemas.openxmlformats.org/officeDocument/2006/relationships/image" Target="media/image18.png"/>
	<Relationship Id="rId46" Type="http://schemas.openxmlformats.org/officeDocument/2006/relationships/image" Target="media/image19.png"/>
	<Relationship Id="rId47" Type="http://schemas.openxmlformats.org/officeDocument/2006/relationships/image" Target="media/image20.png"/>
	<Relationship Id="rId48" Type="http://schemas.openxmlformats.org/officeDocument/2006/relationships/image" Target="media/image21.png"/>
	<Relationship Id="rId49" Type="http://schemas.openxmlformats.org/officeDocument/2006/relationships/image" Target="media/image22.png"/>
	<Relationship Id="rId50" Type="http://schemas.openxmlformats.org/officeDocument/2006/relationships/image" Target="media/image23.png"/>
	<Relationship Id="rId51" Type="http://schemas.openxmlformats.org/officeDocument/2006/relationships/image" Target="media/image24.png"/>
	<Relationship Id="rId52" Type="http://schemas.openxmlformats.org/officeDocument/2006/relationships/image" Target="media/image25.png"/>
	<Relationship Id="rId53" Type="http://schemas.openxmlformats.org/officeDocument/2006/relationships/image" Target="media/image26.png"/>
	<Relationship Id="rId54" Type="http://schemas.openxmlformats.org/officeDocument/2006/relationships/image" Target="media/image27.png"/>
	<Relationship Id="rId55" Type="http://schemas.openxmlformats.org/officeDocument/2006/relationships/image" Target="media/image28.png"/>
	<Relationship Id="rId56" Type="http://schemas.openxmlformats.org/officeDocument/2006/relationships/image" Target="media/image29.png"/>
	<Relationship Id="rId57" Type="http://schemas.openxmlformats.org/officeDocument/2006/relationships/image" Target="media/image30.png"/>
	<Relationship Id="rId58" Type="http://schemas.openxmlformats.org/officeDocument/2006/relationships/image" Target="media/image31.png"/>
	<Relationship Id="rId59" Type="http://schemas.openxmlformats.org/officeDocument/2006/relationships/image" Target="media/image32.png"/>
	<Relationship Id="rId60" Type="http://schemas.openxmlformats.org/officeDocument/2006/relationships/image" Target="media/image33.png"/>
	<Relationship Id="rId61" Type="http://schemas.openxmlformats.org/officeDocument/2006/relationships/image" Target="media/image34.png"/>
	<Relationship Id="rId62" Type="http://schemas.openxmlformats.org/officeDocument/2006/relationships/image" Target="media/image35.png"/>
	<Relationship Id="rId63" Type="http://schemas.openxmlformats.org/officeDocument/2006/relationships/image" Target="media/image36.png"/>
	<Relationship Id="rId64" Type="http://schemas.openxmlformats.org/officeDocument/2006/relationships/image" Target="media/image37.png"/>
	<Relationship Id="rId65" Type="http://schemas.openxmlformats.org/officeDocument/2006/relationships/image" Target="media/image38.png"/>
	<Relationship Id="rId66" Type="http://schemas.openxmlformats.org/officeDocument/2006/relationships/image" Target="media/image39.png"/>
	<Relationship Id="rId67" Type="http://schemas.openxmlformats.org/officeDocument/2006/relationships/image" Target="media/image40.png"/>
	<Relationship Id="rId68" Type="http://schemas.openxmlformats.org/officeDocument/2006/relationships/image" Target="media/image41.png"/>
	<Relationship Id="rId69" Type="http://schemas.openxmlformats.org/officeDocument/2006/relationships/image" Target="media/image42.png"/>
	<Relationship Id="rId70" Type="http://schemas.openxmlformats.org/officeDocument/2006/relationships/image" Target="media/image43.png"/>
	<Relationship Id="rId71" Type="http://schemas.openxmlformats.org/officeDocument/2006/relationships/image" Target="media/image44.png"/>
	<Relationship Id="rId72" Type="http://schemas.openxmlformats.org/officeDocument/2006/relationships/image" Target="media/image45.png"/>
	<Relationship Id="rId73" Type="http://schemas.openxmlformats.org/officeDocument/2006/relationships/image" Target="media/image46.png"/>
	<Relationship Id="rId74" Type="http://schemas.openxmlformats.org/officeDocument/2006/relationships/image" Target="media/image47.png"/>
	<Relationship Id="rId75" Type="http://schemas.openxmlformats.org/officeDocument/2006/relationships/image" Target="media/image48.png"/>
	<Relationship Id="rId76" Type="http://schemas.openxmlformats.org/officeDocument/2006/relationships/image" Target="media/image49.png"/>
	<Relationship Id="rId77" Type="http://schemas.openxmlformats.org/officeDocument/2006/relationships/image" Target="media/image50.png"/>
	<Relationship Id="rId78" Type="http://schemas.openxmlformats.org/officeDocument/2006/relationships/image" Target="media/image51.png"/>
	<Relationship Id="rId79" Type="http://schemas.openxmlformats.org/officeDocument/2006/relationships/image" Target="media/image52.png"/>
	<Relationship Id="rId80" Type="http://schemas.openxmlformats.org/officeDocument/2006/relationships/image" Target="media/image53.png"/>
	<Relationship Id="rId81" Type="http://schemas.openxmlformats.org/officeDocument/2006/relationships/image" Target="media/image54.png"/>
	<Relationship Id="rId82" Type="http://schemas.openxmlformats.org/officeDocument/2006/relationships/image" Target="media/image55.png"/>
	<Relationship Id="rId83" Type="http://schemas.openxmlformats.org/officeDocument/2006/relationships/image" Target="media/image56.png"/>
	<Relationship Id="rId84" Type="http://schemas.openxmlformats.org/officeDocument/2006/relationships/image" Target="media/image57.png"/>
	<Relationship Id="rId85" Type="http://schemas.openxmlformats.org/officeDocument/2006/relationships/image" Target="media/image58.png"/>
	<Relationship Id="rId86" Type="http://schemas.openxmlformats.org/officeDocument/2006/relationships/image" Target="media/image59.png"/>
	<Relationship Id="rId87" Type="http://schemas.openxmlformats.org/officeDocument/2006/relationships/image" Target="media/image60.png"/>
	<Relationship Id="rId88" Type="http://schemas.openxmlformats.org/officeDocument/2006/relationships/image" Target="media/image61.png"/>
	<Relationship Id="rId89" Type="http://schemas.openxmlformats.org/officeDocument/2006/relationships/image" Target="media/image62.png"/>
	<Relationship Id="rId90" Type="http://schemas.openxmlformats.org/officeDocument/2006/relationships/image" Target="media/image63.png"/>
	<Relationship Id="rId91" Type="http://schemas.openxmlformats.org/officeDocument/2006/relationships/image" Target="media/image64.png"/>
	<Relationship Id="rId92" Type="http://schemas.openxmlformats.org/officeDocument/2006/relationships/image" Target="media/image65.png"/>
	<Relationship Id="rId93" Type="http://schemas.openxmlformats.org/officeDocument/2006/relationships/image" Target="media/image66.png"/>
	<Relationship Id="rId94" Type="http://schemas.openxmlformats.org/officeDocument/2006/relationships/image" Target="media/image67.png"/>
	<Relationship Id="rId95" Type="http://schemas.openxmlformats.org/officeDocument/2006/relationships/image" Target="media/image68.png"/>
	<Relationship Id="rId96" Type="http://schemas.openxmlformats.org/officeDocument/2006/relationships/image" Target="media/image69.png"/>
	<Relationship Id="rId97" Type="http://schemas.openxmlformats.org/officeDocument/2006/relationships/image" Target="media/image70.png"/>
	<Relationship Id="rId98" Type="http://schemas.openxmlformats.org/officeDocument/2006/relationships/image" Target="media/image71.png"/>
	<Relationship Id="rId99" Type="http://schemas.openxmlformats.org/officeDocument/2006/relationships/image" Target="media/image72.png"/>
	<Relationship Id="rId100" Type="http://schemas.openxmlformats.org/officeDocument/2006/relationships/image" Target="media/image73.png"/>
	<Relationship Id="rId101" Type="http://schemas.openxmlformats.org/officeDocument/2006/relationships/image" Target="media/image74.png"/>
	<Relationship Id="rId102" Type="http://schemas.openxmlformats.org/officeDocument/2006/relationships/image" Target="media/image75.png"/>
	<Relationship Id="rId103" Type="http://schemas.openxmlformats.org/officeDocument/2006/relationships/image" Target="media/image76.png"/>
	<Relationship Id="rId104" Type="http://schemas.openxmlformats.org/officeDocument/2006/relationships/image" Target="media/image77.png"/>
	<Relationship Id="rId105" Type="http://schemas.openxmlformats.org/officeDocument/2006/relationships/image" Target="media/image78.png"/>
	<Relationship Id="rId106" Type="http://schemas.openxmlformats.org/officeDocument/2006/relationships/image" Target="media/image79.png"/>
	<Relationship Id="rId107" Type="http://schemas.openxmlformats.org/officeDocument/2006/relationships/image" Target="media/image80.png"/>
	<Relationship Id="rId108" Type="http://schemas.openxmlformats.org/officeDocument/2006/relationships/image" Target="media/image81.png"/>
	<Relationship Id="rId109" Type="http://schemas.openxmlformats.org/officeDocument/2006/relationships/image" Target="media/image82.png"/>
	<Relationship Id="rId110" Type="http://schemas.openxmlformats.org/officeDocument/2006/relationships/image" Target="media/image83.png"/>
	<Relationship Id="rId111" Type="http://schemas.openxmlformats.org/officeDocument/2006/relationships/image" Target="media/image84.png"/>
	<Relationship Id="rId112" Type="http://schemas.openxmlformats.org/officeDocument/2006/relationships/image" Target="media/image85.png"/>
	<Relationship Id="rId113" Type="http://schemas.openxmlformats.org/officeDocument/2006/relationships/image" Target="media/image86.png"/>
	<Relationship Id="rId114" Type="http://schemas.openxmlformats.org/officeDocument/2006/relationships/image" Target="media/image87.png"/>
	<Relationship Id="rId115" Type="http://schemas.openxmlformats.org/officeDocument/2006/relationships/image" Target="media/image88.png"/>
	<Relationship Id="rId116" Type="http://schemas.openxmlformats.org/officeDocument/2006/relationships/image" Target="media/image89.png"/>
	<Relationship Id="rId117" Type="http://schemas.openxmlformats.org/officeDocument/2006/relationships/image" Target="media/image90.png"/>
	<Relationship Id="rId118" Type="http://schemas.openxmlformats.org/officeDocument/2006/relationships/image" Target="media/image91.png"/>
	<Relationship Id="rId119" Type="http://schemas.openxmlformats.org/officeDocument/2006/relationships/image" Target="media/image92.png"/>
	<Relationship Id="rId120" Type="http://schemas.openxmlformats.org/officeDocument/2006/relationships/image" Target="media/image93.png"/>
	<Relationship Id="rId121" Type="http://schemas.openxmlformats.org/officeDocument/2006/relationships/image" Target="media/image94.png"/>
	<Relationship Id="rId122" Type="http://schemas.openxmlformats.org/officeDocument/2006/relationships/image" Target="media/image95.png"/>
	<Relationship Id="rId123" Type="http://schemas.openxmlformats.org/officeDocument/2006/relationships/image" Target="media/image96.png"/>
	<Relationship Id="rId124" Type="http://schemas.openxmlformats.org/officeDocument/2006/relationships/image" Target="media/image97.png"/>
	<Relationship Id="rId125" Type="http://schemas.openxmlformats.org/officeDocument/2006/relationships/image" Target="media/image98.png"/>
	<Relationship Id="rId126" Type="http://schemas.openxmlformats.org/officeDocument/2006/relationships/image" Target="media/image99.png"/>
	<Relationship Id="rId127" Type="http://schemas.openxmlformats.org/officeDocument/2006/relationships/image" Target="media/image100.png"/>
	<Relationship Id="rId128" Type="http://schemas.openxmlformats.org/officeDocument/2006/relationships/image" Target="media/image101.png"/>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01.04.2022 N 244
"Об утверждении Правил тушения лесных пожаров"
(Зарегистрировано в Минюсте России 12.08.2022 N 69620)</dc:title>
  <dcterms:created xsi:type="dcterms:W3CDTF">2025-07-24T11:31:47Z</dcterms:created>
</cp:coreProperties>
</file>