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2" w:rsidRPr="00854CC3" w:rsidRDefault="00F01772" w:rsidP="009B6AF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9B6AF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 xml:space="preserve">за </w:t>
      </w:r>
      <w:r w:rsidR="008D6ADB">
        <w:rPr>
          <w:rStyle w:val="FontStyle11"/>
          <w:b w:val="0"/>
          <w:sz w:val="28"/>
          <w:szCs w:val="28"/>
        </w:rPr>
        <w:t>2</w:t>
      </w:r>
      <w:bookmarkStart w:id="0" w:name="_GoBack"/>
      <w:bookmarkEnd w:id="0"/>
      <w:r w:rsidR="001E14F9">
        <w:rPr>
          <w:rStyle w:val="FontStyle11"/>
          <w:b w:val="0"/>
          <w:sz w:val="28"/>
          <w:szCs w:val="28"/>
        </w:rPr>
        <w:t xml:space="preserve"> квартал </w:t>
      </w:r>
      <w:r w:rsidR="009B6AF1">
        <w:rPr>
          <w:rStyle w:val="FontStyle11"/>
          <w:b w:val="0"/>
          <w:sz w:val="28"/>
          <w:szCs w:val="28"/>
        </w:rPr>
        <w:t>201</w:t>
      </w:r>
      <w:r w:rsidR="001E14F9">
        <w:rPr>
          <w:rStyle w:val="FontStyle11"/>
          <w:b w:val="0"/>
          <w:sz w:val="28"/>
          <w:szCs w:val="28"/>
        </w:rPr>
        <w:t>8</w:t>
      </w:r>
      <w:r w:rsidR="009B6AF1">
        <w:rPr>
          <w:rStyle w:val="FontStyle11"/>
          <w:b w:val="0"/>
          <w:sz w:val="28"/>
          <w:szCs w:val="28"/>
        </w:rPr>
        <w:t xml:space="preserve"> год</w:t>
      </w:r>
      <w:r w:rsidR="001E14F9">
        <w:rPr>
          <w:rStyle w:val="FontStyle11"/>
          <w:b w:val="0"/>
          <w:sz w:val="28"/>
          <w:szCs w:val="28"/>
        </w:rPr>
        <w:t>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го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B7695C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5D5C50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AD3EA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5D5C50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AD3EA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35F0"/>
    <w:rsid w:val="00056CE6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3F2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14F9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612F2"/>
    <w:rsid w:val="0026162E"/>
    <w:rsid w:val="00264DEC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0F36"/>
    <w:rsid w:val="005317D7"/>
    <w:rsid w:val="005341C0"/>
    <w:rsid w:val="00534A4C"/>
    <w:rsid w:val="00536873"/>
    <w:rsid w:val="0053787D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5C50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C7D24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D6AD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6AF1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1B8F"/>
    <w:rsid w:val="00AB2601"/>
    <w:rsid w:val="00AB2879"/>
    <w:rsid w:val="00AB3F88"/>
    <w:rsid w:val="00AB4C10"/>
    <w:rsid w:val="00AB5C03"/>
    <w:rsid w:val="00AC13BE"/>
    <w:rsid w:val="00AC24C3"/>
    <w:rsid w:val="00AC4A75"/>
    <w:rsid w:val="00AC4F63"/>
    <w:rsid w:val="00AD3EA4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95C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D7E27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469F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VSokolova</dc:creator>
  <cp:lastModifiedBy>Галиева Татьяна Геннадьевна</cp:lastModifiedBy>
  <cp:revision>2</cp:revision>
  <cp:lastPrinted>2018-11-23T04:32:00Z</cp:lastPrinted>
  <dcterms:created xsi:type="dcterms:W3CDTF">2018-11-23T04:32:00Z</dcterms:created>
  <dcterms:modified xsi:type="dcterms:W3CDTF">2018-11-23T04:32:00Z</dcterms:modified>
</cp:coreProperties>
</file>