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cs="Times New Roman" w:ascii="Times New Roman" w:hAnsi="Times New Roman"/>
          <w:color w:val="auto"/>
          <w:sz w:val="36"/>
          <w:szCs w:val="36"/>
        </w:rPr>
        <w:t xml:space="preserve">Кадастровое дело </w:t>
      </w:r>
      <w:r>
        <w:rPr>
          <w:rFonts w:cs="Times New Roman" w:ascii="Times New Roman" w:hAnsi="Times New Roman"/>
          <w:b/>
          <w:color w:val="auto"/>
          <w:sz w:val="36"/>
          <w:szCs w:val="36"/>
          <w:u w:val="single"/>
        </w:rPr>
        <w:t>№ 017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Название: </w:t>
      </w:r>
      <w:r>
        <w:rPr>
          <w:rFonts w:cs="Times New Roman" w:ascii="Times New Roman" w:hAnsi="Times New Roman"/>
          <w:b/>
          <w:sz w:val="36"/>
          <w:szCs w:val="36"/>
        </w:rPr>
        <w:t>«Дендропарк курорта «Тинаки-1»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Категория: </w:t>
      </w:r>
      <w:r>
        <w:rPr>
          <w:rFonts w:cs="Times New Roman" w:ascii="Times New Roman" w:hAnsi="Times New Roman"/>
          <w:b/>
          <w:sz w:val="36"/>
          <w:szCs w:val="36"/>
        </w:rPr>
        <w:t>памятник природы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Значение ООПТ: </w:t>
      </w:r>
      <w:r>
        <w:rPr>
          <w:rFonts w:cs="Times New Roman" w:ascii="Times New Roman" w:hAnsi="Times New Roman"/>
          <w:b/>
          <w:sz w:val="36"/>
          <w:szCs w:val="36"/>
        </w:rPr>
        <w:t>региональное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tbl>
      <w:tblPr>
        <w:tblStyle w:val="13"/>
        <w:tblW w:w="1063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5"/>
        <w:gridCol w:w="1341"/>
        <w:gridCol w:w="1311"/>
        <w:gridCol w:w="1211"/>
        <w:gridCol w:w="599"/>
        <w:gridCol w:w="1167"/>
        <w:gridCol w:w="677"/>
        <w:gridCol w:w="691"/>
        <w:gridCol w:w="596"/>
        <w:gridCol w:w="2331"/>
        <w:gridCol w:w="67"/>
        <w:gridCol w:w="75"/>
      </w:tblGrid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Название ООПТ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firstLine="601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Памятник природы регионального значения «Дендропарк курорта «Тинаки-1».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both"/>
              <w:outlineLvl w:val="1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Категория ООПТ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Памятник природы.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Значение ООПТ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Региональное.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both"/>
              <w:outlineLvl w:val="1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Порядковый номер кадастрового дела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75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017.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88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Профиль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38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Ботанический.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38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Статус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50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Действующий.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50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Дата создания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37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04.10.1985.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26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both"/>
              <w:outlineLvl w:val="1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Цели создания ООПТ и ее ценность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26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firstLine="54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Памятником природы объявлен дендрологический парк бальнеологического курорта «Тинаки-1», имеющий природоохранное, рекреационное и эстетическое значение.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26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9.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Нормативная основа функционирования ООПТ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53" w:hRule="atLeast"/>
        </w:trPr>
        <w:tc>
          <w:tcPr>
            <w:tcW w:w="56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Реквизиты правового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акта (категория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правового акта, название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органа власти,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принявшего правовой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акт, дата принятия 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номер</w:t>
            </w:r>
          </w:p>
        </w:tc>
        <w:tc>
          <w:tcPr>
            <w:tcW w:w="18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Площадь ООПТ, определенная документом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1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Краткое содержание документа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0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Решение исполнительного комитета Астраханского областного Совета народных депутатов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от 04.10.198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u w:val="single"/>
                <w:shd w:fill="auto" w:val="clear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 xml:space="preserve"> № 620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 объявлении государственными памятниками природы: озеро Тинаки, дендропарк курорта Тинаки-1, озеро Лечебное, карстовое поле (ур. Шарбулак на территории санитарно-защитной зоны оз. Баскунчак)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68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121" w:type="dxa"/>
            <w:gridSpan w:val="3"/>
            <w:tcBorders/>
            <w:vAlign w:val="center"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nforma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Распоряжение Главы администрации Астраханской области</w:t>
            </w:r>
          </w:p>
          <w:p>
            <w:pPr>
              <w:pStyle w:val="ConsPlusNonforma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bidi="ar-SA"/>
              </w:rPr>
              <w:t>от 23.07.1993 № 1017-р</w:t>
            </w:r>
          </w:p>
          <w:p>
            <w:pPr>
              <w:pStyle w:val="ConsPlusNonforma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 га</w:t>
            </w:r>
          </w:p>
        </w:tc>
        <w:tc>
          <w:tcPr>
            <w:tcW w:w="361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624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Постановление Главы администрации Астраханской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от 31.08.1995 № 249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1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 утверждении паспортов на памятники природы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27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Распоряжение Главы администрации Астраханской области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от 18.04.2000 № 395-Р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8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 га</w:t>
            </w:r>
          </w:p>
        </w:tc>
        <w:tc>
          <w:tcPr>
            <w:tcW w:w="361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27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Астраханской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от 01.06.2006 № 184-п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 га</w:t>
            </w:r>
          </w:p>
        </w:tc>
        <w:tc>
          <w:tcPr>
            <w:tcW w:w="361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719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Астраханской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от 27.09.2012 № 405-П</w:t>
            </w:r>
          </w:p>
        </w:tc>
        <w:tc>
          <w:tcPr>
            <w:tcW w:w="18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 га</w:t>
            </w:r>
          </w:p>
        </w:tc>
        <w:tc>
          <w:tcPr>
            <w:tcW w:w="361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внесении изменений в постановление Правительства Астраханской области от 01.06.2006 № 184-П.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26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Ведомственная подчиненность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50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Служба природопользования и охраны окружающей среды Астраханской области.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13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11.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Международный статус ООПТ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50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 присвоен.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26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12.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Категория ООПТ согласно классификации Международного союза охраны природы (МСОП,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 w:bidi="ar-SA"/>
              </w:rPr>
              <w:t>IUCN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1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Данные отсутствуют.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38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13.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50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Данные отсутствуют.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37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14.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Месторасположение ООПТ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26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Южный федеральный округ, Астраханская область, Наримановский район, МО «Солянский сельсовет», п. Тинаки.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Реестровый номер в ЕГРН – 30:08-9.2.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38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15.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Географическое положение ООПТ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88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firstLine="6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Памятник природы находится в северо-восточной части западного ильменно-бугрового ландшафтного комплекса на южном берегу озера Тинаки.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88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16.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Общая площадь ООПТ (га)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75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firstLine="6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25,0 га, в том числе площадь морской особо охраняемой акватории – 0,0 га, площадь земельных участков, включенных в границы ООПТ без изъятия из хозяйственного использования – 25,0 га.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26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17.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Площадь охранной зоны ООПТ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50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 га.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1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18.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Границы ООПТ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227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exact" w:line="14" w:before="0" w:after="0"/>
              <w:jc w:val="lef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anchor behindDoc="0" distT="0" distB="635" distL="0" distR="635" simplePos="0" locked="0" layoutInCell="1" allowOverlap="1" relativeHeight="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6389370" cy="389890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9280" cy="389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jc w:val="center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19" w:type="dxa"/>
                                      <w:bottom w:w="0" w:type="dxa"/>
                                      <w:right w:w="119" w:type="dxa"/>
                                    </w:tblCellMar>
                                    <w:tblLook w:lastRow="0" w:firstRow="0" w:lastColumn="0" w:firstColumn="0" w:val="0000" w:noHBand="0" w:noVBand="0"/>
                                  </w:tblPr>
                                  <w:tblGrid>
                                    <w:gridCol w:w="10063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10063" w:type="dxa"/>
                                        <w:tcBorders>
                                          <w:top w:val="single" w:sz="4" w:space="0" w:color="000000"/>
                                          <w:left w:val="double" w:sz="6" w:space="0" w:color="000000"/>
                                          <w:bottom w:val="single" w:sz="6" w:space="0" w:color="000000"/>
                                          <w:right w:val="double" w:sz="6" w:space="0" w:color="000000"/>
                                        </w:tcBorders>
                                        <w:shd w:color="auto" w:fill="auto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Normal"/>
                                          <w:keepNext w:val="true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 w:eastAsia="Times New Roman" w:cs="Times New Roman"/>
                                            <w:b/>
                                            <w:sz w:val="28"/>
                                            <w:szCs w:val="28"/>
                                            <w:vertAlign w:val="superscript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b/>
                                            <w:sz w:val="28"/>
                                            <w:szCs w:val="28"/>
                                            <w:lang w:eastAsia="ru-RU"/>
                                          </w:rPr>
                                          <w:t>Сведения о местоположении границ объекта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46"/>
                                    <w:spacing w:before="0" w:after="16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100000</wp14:pctWidth>
                      </wp14:sizeRelH>
                    </wp:anchor>
                  </w:drawing>
                </mc:Choice>
                <mc:Fallback>
                  <w:pict>
                    <v:rect id="shape_0" ID="Врезка1" path="m0,0l-2147483645,0l-2147483645,-2147483646l0,-2147483646xe" fillcolor="white" stroked="f" o:allowincell="t" style="position:absolute;margin-left:-5.4pt;margin-top:0.05pt;width:503.05pt;height:30.65pt;mso-wrap-style:none;v-text-anchor:middle;mso-position-horizontal:center">
                      <v:fill o:detectmouseclick="t" type="solid" color2="black" opacity="0"/>
                      <v:stroke color="#3465a4" joinstyle="round" endcap="flat"/>
                      <v:textbox>
                        <w:txbxContent>
                          <w:tbl>
                            <w:tblPr>
                              <w:tblW w:w="5000" w:type="pct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19" w:type="dxa"/>
                                <w:bottom w:w="0" w:type="dxa"/>
                                <w:right w:w="119" w:type="dxa"/>
                              </w:tblCellMar>
                              <w:tblLook w:lastRow="0" w:firstRow="0" w:lastColumn="0" w:firstColumn="0" w:val="0000" w:noHBand="0" w:noVBand="0"/>
                            </w:tblPr>
                            <w:tblGrid>
                              <w:gridCol w:w="10063"/>
                            </w:tblGrid>
                            <w:tr>
                              <w:trPr/>
                              <w:tc>
                                <w:tcPr>
                                  <w:tcW w:w="10063" w:type="dxa"/>
                                  <w:tcBorders>
                                    <w:top w:val="single" w:sz="4" w:space="0" w:color="000000"/>
                                    <w:left w:val="double" w:sz="6" w:space="0" w:color="000000"/>
                                    <w:bottom w:val="single" w:sz="6" w:space="0" w:color="000000"/>
                                    <w:right w:val="double" w:sz="6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keepNext w:val="true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/>
                                      <w:sz w:val="28"/>
                                      <w:szCs w:val="28"/>
                                      <w:vertAlign w:val="superscript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sz w:val="28"/>
                                      <w:szCs w:val="28"/>
                                      <w:lang w:eastAsia="ru-RU"/>
                                    </w:rPr>
                                    <w:t>Сведения о местоположении границ объекта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46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tbl>
            <w:tblPr>
              <w:tblW w:w="9893" w:type="dxa"/>
              <w:jc w:val="center"/>
              <w:tblInd w:w="0" w:type="dxa"/>
              <w:tblLayout w:type="fixed"/>
              <w:tblCellMar>
                <w:top w:w="0" w:type="dxa"/>
                <w:left w:w="120" w:type="dxa"/>
                <w:bottom w:w="0" w:type="dxa"/>
                <w:right w:w="120" w:type="dxa"/>
              </w:tblCellMar>
              <w:tblLook w:noVBand="0" w:val="0000" w:noHBand="0" w:lastColumn="0" w:firstColumn="0" w:lastRow="0" w:firstRow="0"/>
            </w:tblPr>
            <w:tblGrid>
              <w:gridCol w:w="1832"/>
              <w:gridCol w:w="1814"/>
              <w:gridCol w:w="1868"/>
              <w:gridCol w:w="1842"/>
              <w:gridCol w:w="2537"/>
            </w:tblGrid>
            <w:tr>
              <w:trPr>
                <w:cantSplit w:val="true"/>
              </w:trPr>
              <w:tc>
                <w:tcPr>
                  <w:tcW w:w="9893" w:type="dxa"/>
                  <w:gridSpan w:val="5"/>
                  <w:tcBorders>
                    <w:top w:val="single" w:sz="4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keepNext w:val="true"/>
                    <w:widowControl w:val="false"/>
                    <w:spacing w:lineRule="auto" w:line="240" w:before="60" w:after="60"/>
                    <w:rPr>
                      <w:rFonts w:ascii="Times New Roman" w:hAnsi="Times New Roman" w:eastAsia="Times New Roman" w:cs="Times New Roman"/>
                      <w:b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eastAsia="ru-RU"/>
                    </w:rPr>
                    <w:t>1. В системе координат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9893" w:type="dxa"/>
                  <w:gridSpan w:val="5"/>
                  <w:tcBorders>
                    <w:top w:val="single" w:sz="4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keepNext w:val="true"/>
                    <w:widowControl w:val="false"/>
                    <w:spacing w:lineRule="auto" w:line="240" w:before="60" w:after="60"/>
                    <w:rPr>
                      <w:rFonts w:ascii="Times New Roman" w:hAnsi="Times New Roman" w:eastAsia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1832" w:type="dxa"/>
                  <w:vMerge w:val="restart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keepNext w:val="true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eastAsia="ru-RU"/>
                    </w:rPr>
                    <w:t>Обозначение</w:t>
                  </w: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val="en-US" w:eastAsia="ru-RU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eastAsia="ru-RU"/>
                    </w:rPr>
                    <w:t>характерных точек границ</w:t>
                  </w:r>
                </w:p>
              </w:tc>
              <w:tc>
                <w:tcPr>
                  <w:tcW w:w="36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keepNext w:val="true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eastAsia="ru-RU"/>
                    </w:rPr>
                    <w:t>Координаты</w:t>
                  </w:r>
                </w:p>
                <w:p>
                  <w:pPr>
                    <w:pStyle w:val="Normal"/>
                    <w:keepNext w:val="true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eastAsia="ru-RU"/>
                    </w:rPr>
                    <w:t>Система координат МСК-30</w:t>
                  </w:r>
                </w:p>
                <w:p>
                  <w:pPr>
                    <w:pStyle w:val="Normal"/>
                    <w:keepNext w:val="true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eastAsia="ru-RU"/>
                    </w:rPr>
                    <w:t>зона 2</w:t>
                  </w:r>
                </w:p>
              </w:tc>
              <w:tc>
                <w:tcPr>
                  <w:tcW w:w="43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keepNext w:val="true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eastAsia="ru-RU"/>
                    </w:rPr>
                    <w:t>Координаты</w:t>
                  </w:r>
                </w:p>
                <w:p>
                  <w:pPr>
                    <w:pStyle w:val="Normal"/>
                    <w:keepNext w:val="true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eastAsia="ru-RU"/>
                    </w:rPr>
                    <w:t>Система координат WGS-84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1832" w:type="dxa"/>
                  <w:vMerge w:val="continue"/>
                  <w:tcBorders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keepNext w:val="true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eastAsia="ru-RU"/>
                    </w:rPr>
                  </w:r>
                </w:p>
              </w:tc>
              <w:tc>
                <w:tcPr>
                  <w:tcW w:w="1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keepNext w:val="true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keepNext w:val="true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val="en-US" w:eastAsia="ru-RU"/>
                    </w:rPr>
                    <w:t>Y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keepNext w:val="true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keepNext w:val="true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val="en-US" w:eastAsia="ru-RU"/>
                    </w:rPr>
                    <w:t>Y</w:t>
                  </w:r>
                </w:p>
              </w:tc>
            </w:tr>
          </w:tbl>
          <w:p>
            <w:pPr>
              <w:pStyle w:val="Normal"/>
              <w:keepNext w:val="true"/>
              <w:widowControl w:val="false"/>
              <w:suppressAutoHyphens w:val="true"/>
              <w:spacing w:lineRule="exact" w:line="14" w:before="0" w:after="0"/>
              <w:jc w:val="left"/>
              <w:rPr>
                <w:sz w:val="2"/>
              </w:rPr>
            </w:pPr>
            <w:r>
              <w:rPr>
                <w:sz w:val="2"/>
              </w:rPr>
            </w:r>
          </w:p>
          <w:tbl>
            <w:tblPr>
              <w:tblW w:w="4950" w:type="pct"/>
              <w:jc w:val="left"/>
              <w:tblInd w:w="0" w:type="dxa"/>
              <w:tblLayout w:type="fixed"/>
              <w:tblCellMar>
                <w:top w:w="0" w:type="dxa"/>
                <w:left w:w="120" w:type="dxa"/>
                <w:bottom w:w="0" w:type="dxa"/>
                <w:right w:w="120" w:type="dxa"/>
              </w:tblCellMar>
              <w:tblLook w:noVBand="0" w:val="0000" w:noHBand="0" w:lastColumn="0" w:firstColumn="0" w:lastRow="0" w:firstRow="0"/>
            </w:tblPr>
            <w:tblGrid>
              <w:gridCol w:w="1791"/>
              <w:gridCol w:w="1780"/>
              <w:gridCol w:w="1783"/>
              <w:gridCol w:w="1779"/>
              <w:gridCol w:w="2477"/>
            </w:tblGrid>
            <w:tr>
              <w:trPr>
                <w:tblHeader w:val="true"/>
                <w:cantSplit w:val="true"/>
              </w:trPr>
              <w:tc>
                <w:tcPr>
                  <w:tcW w:w="1791" w:type="dxa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Cs w:val="20"/>
                      <w:lang w:eastAsia="ru-RU"/>
                    </w:rPr>
                    <w:t>5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1791" w:type="dxa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428441.22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1445028.40</w:t>
                  </w:r>
                </w:p>
              </w:tc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46°24'26.613"</w:t>
                  </w:r>
                </w:p>
              </w:tc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47°56'5.218"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1791" w:type="dxa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428588.16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1445514.99</w:t>
                  </w:r>
                </w:p>
              </w:tc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46°24'30.993"</w:t>
                  </w:r>
                </w:p>
              </w:tc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47°56'28.152"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1791" w:type="dxa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428217.24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1445668.40</w:t>
                  </w:r>
                </w:p>
              </w:tc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46°24'18.868"</w:t>
                  </w:r>
                </w:p>
              </w:tc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47°56'34.915"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1791" w:type="dxa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428049.64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1445017.36</w:t>
                  </w:r>
                </w:p>
              </w:tc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46°24'13.947"</w:t>
                  </w:r>
                </w:p>
              </w:tc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47°56'4.265"</w:t>
                  </w:r>
                </w:p>
              </w:tc>
            </w:tr>
            <w:tr>
              <w:trPr>
                <w:trHeight w:val="137" w:hRule="atLeast"/>
                <w:cantSplit w:val="true"/>
              </w:trPr>
              <w:tc>
                <w:tcPr>
                  <w:tcW w:w="1791" w:type="dxa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428428.72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1444915.96</w:t>
                  </w:r>
                </w:p>
              </w:tc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46°24'26.295"</w:t>
                  </w:r>
                </w:p>
              </w:tc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47°55'59.943"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0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19.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Наличие в границах ООПТ иных особо охраняемых природных территорий: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88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7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Отсутствуют.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75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Природные особенности ООПТ: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25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13"/>
              <w:widowControl w:val="false"/>
              <w:suppressAutoHyphens w:val="true"/>
              <w:spacing w:before="0" w:after="0"/>
              <w:jc w:val="both"/>
              <w:rPr>
                <w:szCs w:val="26"/>
              </w:rPr>
            </w:pPr>
            <w:r>
              <w:rPr>
                <w:b/>
                <w:kern w:val="0"/>
                <w:lang w:val="ru-RU" w:bidi="ar-SA"/>
              </w:rPr>
              <w:t>а) нарушенность территории</w:t>
            </w:r>
          </w:p>
          <w:p>
            <w:pPr>
              <w:pStyle w:val="13"/>
              <w:widowControl w:val="false"/>
              <w:suppressAutoHyphens w:val="true"/>
              <w:spacing w:before="0" w:after="0"/>
              <w:ind w:left="0" w:right="0" w:firstLine="742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szCs w:val="26"/>
                <w:lang w:val="ru-RU" w:bidi="ar-SA"/>
              </w:rPr>
              <w:t>Дендропарк разбит в 1930 - 1932 годах на территории курорта «Тинаки-1». Он состоит преимущественно из туркестанского тополя, вяза узколистного, ясеня зеленого и белой акации.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38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б) краткая характеристика рельефа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26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Основным рельефообразующим фактором для дельты Волги является сток наносов. В геолого – литологическом строении дельтовой равнины принимают участие современные, хвалынские, хазарские и бакинские отложения. Бакинские отложения являются региональным водоупором.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Современные осадки имеют различную мощность и включают аллювиальные, аллювиально – морские и делювиальные отложения. Аллювиальные отложения представлены полойными, проточными и ильменными осадками. Для полойных образований характерно переслаивание песка и суглинка. В проточных осадках, залегающих преимущественно под полойными, реже ильменными отложениями, преобладают мелкозернистые и глинистые пески.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Отложения водоёмов – отстойников представлены чередующимися слоями суглинков и глин. Подчинённое положение занимают пески. Осадки ильменно-култучных впадин распространены на всей площади дельты, встречаясь на глубине 1 – 7 м. Перекрываются осадки полойными образованиями.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Хвалынские отложения не имеют сплошного распространения в дельте, на дневную поверхность выходят в виде бугров Бэра. В границах муниципального образования бугры Бэра отсутствуют. Хазарские отложения представлены глинами, содержащими прослои песков и супесей различной мощности.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Суммарная мощность отложений достигает 50 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Бакинские морские осадки, вскрытые в пределах современной дельтовой равнины, представлены глинами с прослоями мелкозернистых кварцевых песков мощностью в несколько десятков метров. Максимальная вскрытая мощность бакинских отложений превышает 300 м.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75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в) краткая характеристика климата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75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Style26"/>
              <w:widowControl w:val="false"/>
              <w:tabs>
                <w:tab w:val="clear" w:pos="708"/>
                <w:tab w:val="left" w:pos="180" w:leader="none"/>
              </w:tabs>
              <w:suppressAutoHyphens w:val="true"/>
              <w:spacing w:lineRule="auto" w:line="240"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Территория памятника природы расположена в дельте реки Волги. Под воздействием ряда факторов на территории сформировался умеренный, резко континентальный климат с высокими температурами летом, низкими - зимой, большими годовыми и летними суточными амплитудами температуры воздуха, малым количеством осадков и большой испаряемостью.</w:t>
            </w:r>
          </w:p>
          <w:p>
            <w:pPr>
              <w:pStyle w:val="Style26"/>
              <w:widowControl w:val="false"/>
              <w:tabs>
                <w:tab w:val="clear" w:pos="708"/>
                <w:tab w:val="left" w:pos="180" w:leader="none"/>
              </w:tabs>
              <w:suppressAutoHyphens w:val="true"/>
              <w:spacing w:lineRule="auto" w:line="240"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Климат дельты реки Волги имеет свои специфические особенности. Наличие на ее территории значительных водных пространств, лесных насаждений, луговой растительности способствует формированию микроклимата с повышенной влажностью воздуха в теплый период года, более продолжительного безморозного периода. Летом в дневные часы много тепла расходуется на испарение, прогрев воздуха уменьшается, и температура его понижается на 2°-3° С по сравнению с воздухом степных территорий. В ночные часы температура воздуха в пойме и дельте выше, в дневные – ниже по сравнению со степной территорией, снижается вероятность проявления и уровень воздействия суховеев, пыльных бурь.</w:t>
            </w:r>
          </w:p>
          <w:p>
            <w:pPr>
              <w:pStyle w:val="Style26"/>
              <w:widowControl w:val="false"/>
              <w:tabs>
                <w:tab w:val="clear" w:pos="708"/>
                <w:tab w:val="left" w:pos="180" w:leader="none"/>
              </w:tabs>
              <w:suppressAutoHyphens w:val="true"/>
              <w:spacing w:lineRule="auto" w:line="240"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Продолжительность солнечного сияния на территории района составляет 2200-2400 часов в год, суммарная солнечная радиация – до 120 ккал/см2.</w:t>
            </w:r>
          </w:p>
          <w:p>
            <w:pPr>
              <w:pStyle w:val="Style26"/>
              <w:widowControl w:val="false"/>
              <w:tabs>
                <w:tab w:val="clear" w:pos="708"/>
                <w:tab w:val="left" w:pos="180" w:leader="none"/>
              </w:tabs>
              <w:suppressAutoHyphens w:val="true"/>
              <w:spacing w:lineRule="auto" w:line="240"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Самые холодные месяца – январь и февраль со среднемесячной температурой -5 0С, самый теплый – июль (+ 340С).</w:t>
            </w:r>
          </w:p>
          <w:p>
            <w:pPr>
              <w:pStyle w:val="Style26"/>
              <w:widowControl w:val="false"/>
              <w:tabs>
                <w:tab w:val="clear" w:pos="708"/>
                <w:tab w:val="left" w:pos="180" w:leader="none"/>
              </w:tabs>
              <w:suppressAutoHyphens w:val="true"/>
              <w:spacing w:lineRule="auto" w:line="240"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Абсолютный минимум -150С, абсолютный максимум +400С.</w:t>
            </w:r>
          </w:p>
          <w:p>
            <w:pPr>
              <w:pStyle w:val="Style26"/>
              <w:widowControl w:val="false"/>
              <w:tabs>
                <w:tab w:val="clear" w:pos="708"/>
                <w:tab w:val="left" w:pos="180" w:leader="none"/>
              </w:tabs>
              <w:suppressAutoHyphens w:val="true"/>
              <w:spacing w:lineRule="auto" w:line="240"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Характерной особенностью ветрового режима территории является постоянство ветров восточных направлений. В течение большей части года преобладают восточные и юго-восточные ветры (19-36%), достигая максимума в холодный период. В летний период их повторяемость снижается до 16-20%. В теплый период года (июль-август) и в начале осени (сентябрь-октябрь) существенную роль играют ветры западного и северо-западного направлений, повторяемость которых в последнее десятилетие возросла.</w:t>
            </w:r>
          </w:p>
          <w:p>
            <w:pPr>
              <w:pStyle w:val="Style26"/>
              <w:widowControl w:val="false"/>
              <w:tabs>
                <w:tab w:val="clear" w:pos="708"/>
                <w:tab w:val="left" w:pos="180" w:leader="none"/>
              </w:tabs>
              <w:suppressAutoHyphens w:val="true"/>
              <w:spacing w:lineRule="auto" w:line="240"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года преобладают ветры со скоростями 12-19 км/ч. Среднее количество дней с сильным ветром (более 38 км/ч) составляет 31 день, максимальная скорость ветра составляет 61 км/ч. Пыльные бури наблюдаются в среднем 6 раз в год.в летний период отмечаются самые низкие показатели ветрового режима (количество дней, продолжительность, сила ветра). штили не превышают 4-8% общего числа Штилевая погода способствует застою воздуха и накоплению в нем вредных примесей. Накопление примесей в атмосфере отмечено при туманах, которые наблюдаются в среднем 40 дней в году.</w:t>
            </w:r>
          </w:p>
          <w:p>
            <w:pPr>
              <w:pStyle w:val="Style26"/>
              <w:widowControl w:val="false"/>
              <w:tabs>
                <w:tab w:val="clear" w:pos="708"/>
                <w:tab w:val="left" w:pos="180" w:leader="none"/>
              </w:tabs>
              <w:suppressAutoHyphens w:val="true"/>
              <w:spacing w:lineRule="auto" w:line="240"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Наиболее благоприятные условия для накопления вредных примесей в атмосфере складываются в осенне-зимний период. Значительно возрастает уровень загрязнения атмосферного воздуха при туманах, густых дымках, слабо моросящих осадках, сопровождаемых инверсиями температуры воздуха и штилем. Заметное вымывание загрязняющих веществ из атмосферы вызывают сильные дожди. Наблюдаются они преимущественно летом, количество их за сутки может превышать месячную норму осадков.</w:t>
            </w:r>
          </w:p>
          <w:p>
            <w:pPr>
              <w:pStyle w:val="Style26"/>
              <w:widowControl w:val="false"/>
              <w:tabs>
                <w:tab w:val="clear" w:pos="708"/>
                <w:tab w:val="left" w:pos="180" w:leader="none"/>
              </w:tabs>
              <w:suppressAutoHyphens w:val="true"/>
              <w:spacing w:lineRule="auto" w:line="240"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Согласно агроклиматическому районированию, территория по степени влагообеспеченности относится к очень сухой зоне, по условиям теплообеспеченности летнего периода – к жаркому подрайону. Зима умеренно холодная. Сумма температур активной вегетации (среднесуточная температура воздуха выше 10°С) достигает 3600°. Длительность безморозного периода - 170 - 190 дней. В целом территория хорошо обеспечена теплом.</w:t>
            </w:r>
          </w:p>
          <w:p>
            <w:pPr>
              <w:pStyle w:val="Style26"/>
              <w:widowControl w:val="false"/>
              <w:tabs>
                <w:tab w:val="clear" w:pos="708"/>
                <w:tab w:val="left" w:pos="180" w:leader="none"/>
              </w:tabs>
              <w:suppressAutoHyphens w:val="true"/>
              <w:spacing w:lineRule="auto" w:line="240"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Годовое количество осадков составляет в среднем 190 мм, из них за теплый период (апрель-сентябрь) выпадает до 90 мм. Максимальное количество осадков наблюдается в апереле-мае (до 20 мм), минимальное - в августе-сентябре (до 10 мм).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50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г) краткая характеристика почвенного покрова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38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7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Почвенный покров современной дельтовой равнины формируется в условиях ежегодного паводкового увлажнения, постоянного воздействия на почвообразовательный процесс близко залегающих (0,3 – 2,0 м) минерализованных грунтовых вод. Почвообразующими породами являются аллювиальные отложения. Тип почвообразования – пойменно-степной. Для почв дельты характерны тяжелый механический состав, остаточная засолённость и солонцеватость.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7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Почвенный покров на территории муниципального образования представлен преимущественно аллювиальными дерновыми насыщенными почвами различной степени засоления и их разновидностями, аллювиальными луговыми насыщенными засоленными почвами.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7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замкнутых понижениях рельефа формируются болотно – ильменные почвы, характеризуемые сильной увлажнённостью горизонтов, иловатым составом, неясно выраженной структурой. Болотно-ильменные почвы имеют неблагоприятные водно-физические свойства, при высыхании уплотняются и образуют трещины.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13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д) краткое описание гидрологической сети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0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Наримановский район расположен в центральной части Астраханской области, в основном на правобережной стороне реки Волги.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В меридиональном направлении через территорию района проходит русло реки Волга.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Водные ресурсы МО «Солянский сельсовет» представлены ильменями, буграми и озерами: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Ильмень Тургайши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Ильмень Сасыкуль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Ильмень Камышовский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Ильмень Бзач-Куль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Ильмень Лесной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Ильмень Айдык Камьий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Урочище Джалакколь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Урочище Ильмень Майлеколь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Урочище Тула-Бовга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Урочище Бурун-Тулаа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Урочище Ахмет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Урочище Нахатын-Шавагр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Бугор Становский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Бугор Зунауэль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Бугор Сасынуль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Бугор Зунгуль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Бугор Закарья Латур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Бугор Малгара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Бугор Бзач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Бугор Каерма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Бугор Долгий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Бугор Саргуль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Бугор Кара-Тюбе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Бугор Кладбищенский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Озеро Верхнее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Озеро Барсу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Озеро Котлар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Озеро Тинаки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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ab/>
              <w:t>Озеро Длинное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По состоянию на 2021 год часть ильменей пересохшие.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Самым крупным водным объектом сельсовета является солёное самосадочное озеро Тинаки. Площадь озера — около 90 000 квадратных метров. Озеро расположено между двумя бэровскими буграми в 3 километрах от северо-западной части Астрахани и в 80 километрах к северу от Каспийского моря.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Благодаря содержанию в рапе озера Тинаки магниевых солей и большому количеству бактерий вода в летнее время имеет розоватый оттенок. Толщина соляного покрова в озере нестабильна и изменяется от 3 до 50 см в зависимости от времени года и количества осадков. Уровень воды в озере также изменчив, летом наибольшая глубина озера не превышает 1 метра. Из-за засушливого климата Прикаспийской низменности озеро имеет тенденцию к полному иссушению.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Территория МО «Солянский сельсовет» относится к бассейну внутреннего стока, это связано с рекой Волгой, которая по всей своей протяженности искусственно и природно соединена с другими морями. Но несет свои воды в Каспийское море.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Берег Тинаки покрыт белым налетом, состоящим из кристаллов рапы.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Рассматривая территорию с точки зрения гидрологического режима, можно отметить что Территория относится к бессточной зоне, что обусловливает застойный характер грунтовых вод, высокую степень их минерализации и пестрый химический состав.</w:t>
            </w:r>
          </w:p>
          <w:p>
            <w:pPr>
              <w:pStyle w:val="Style4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На участках с близким залеганием сильноминерализованных грунтовых вод возможно образование солевых корок и солончаков.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50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е) краткая характеристика флоры и растительности:</w:t>
            </w:r>
          </w:p>
          <w:p>
            <w:pPr>
              <w:pStyle w:val="Style45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Формирование травянистого покрова территории связано прежде всего с типом почв и характером их водного режима. На аллювиальных почвах растительность представлена злаково-разнотравными лугами с участием прибрежницы прибрежной, свинороя пальчатого, солодки, в понижениях - стрелолистом и рогозом уз</w:t>
              <w:softHyphen/>
              <w:t>колистным.</w:t>
            </w:r>
          </w:p>
          <w:p>
            <w:pPr>
              <w:pStyle w:val="Style45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На засоленных почвах распространена прибрежница колючая, кермек Гмелина, свинорой пальчатый, клубнекамыш морской, астра солончаковая, горчак ползучий, ширица белая, верблюжья, одуванчик лекарственный. В пределах развития солончаков луговых доминируют сообщества однолетних галофитов.</w:t>
            </w:r>
          </w:p>
          <w:p>
            <w:pPr>
              <w:pStyle w:val="Style45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 xml:space="preserve">Водная растительность представлена неприкрепленными видами растений (ряска малая, сальвиния плавающая), полуприкрепленными (уруть мутовчатая, 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ar-SA" w:bidi="ar-SA"/>
              </w:rPr>
              <w:t>рдесты), клубнекамышом, камышом озерным, рогозом узколистным.</w:t>
            </w:r>
          </w:p>
          <w:p>
            <w:pPr>
              <w:pStyle w:val="Style45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ar-SA" w:bidi="ar-SA"/>
              </w:rPr>
              <w:t>Кормовых угодий, являющихся уникальными ландшафтами и памятниками природы, на территории нет. В травостое пастбищ охраняемые виды растений не выявлены.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13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ж) краткие сведения о лесном фонде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75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firstLine="70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ar-SA" w:bidi="ar-SA"/>
              </w:rPr>
              <w:t>На территории памятника природы произрастает преимущественно туркестанский тополь, вяз узколистный, ясень зеленый и белая акация.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firstLine="70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ar-SA" w:bidi="ar-SA"/>
              </w:rPr>
              <w:t>В результате прекращения деятельности бальнеологического курорта "Тинаки-1", отсутствия ухода за посадками, вырубок, нескольких пожаров дендропарк утратил значение как памятник природы, так как все ценные интродуценты погибли.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742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ar-SA" w:bidi="ar-SA"/>
              </w:rPr>
              <w:t>В результате обследования в 2010 году установлено: на 80% территории парка древесная растительность либо отсутствует, либо погибла в результате длительного отсутствия ухода, полива, пожаров, вырубок. Усыхающие насаждения вяза узколистного, акации белой, лоха узколистного - 5%. Усыхание деревьев от 1/2 до 3/4 ветвей в кроне прошлых лет, суховершинные деревья частично поражены стволовыми вредителями и гнилями. Около 15% территории парка представлено живыми сильно угнетенными насаждениями вяза мелколистного, акации белой, тополя гибридного пирамидального, тополя белого, самосева лоха узколистного. Имеется 5 деревьев гледичии порослевого происхождения, 8 деревьев шелковицы и сплошные заросли кустарника чингил. Вокруг зданий, вне территории памятника природы, где имеется вода и осуществляется полив, сохранились единичные деревья тополя белого.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63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з) краткие сведения о животном мире: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0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Из наземных позвоночных животных наибольшим количеством видов представлена орнитофауна. Из птиц, отнесенных к объектам охоты, в различные сезоны года встречаются серый гусь, кряква, серая утка, шилохвост, свиязь и другие.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Луговые биотопы вне периода весенне-летнего половодья являются местообитанием характерных для экосистем надводной дельты Волги видов млекопитающих, отнесенных к объектам охоты: ентовидной собаки, лисицы, волка, зайца русака. Редкие и находящиеся под угрозой исчезновения млекопитающие, подлежащие особой охране, не зарегистрированы.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63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и) сведения о редких и находящихся под угрозой исчезновения объектах животного и растительного мира: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1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Style44"/>
              <w:widowControl w:val="false"/>
              <w:suppressAutoHyphens w:val="true"/>
              <w:spacing w:lineRule="auto" w:line="240"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ar-SA" w:bidi="ar-SA"/>
              </w:rPr>
              <w:t>Данные отсутствуют.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13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21.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Экспликация по составу земель: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7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Данные отсутствуют.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38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22.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Негативное воздействие на ООПТ (факторы и угрозы)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63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Данные отсутствуют.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25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23.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Юридические лица, ответственные за обеспечение охраны и функционирование ООПТ: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62" w:hRule="atLeast"/>
        </w:trPr>
        <w:tc>
          <w:tcPr>
            <w:tcW w:w="56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86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организации</w:t>
            </w:r>
          </w:p>
        </w:tc>
        <w:tc>
          <w:tcPr>
            <w:tcW w:w="313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Адрес организации,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телефон</w:t>
            </w:r>
          </w:p>
        </w:tc>
        <w:tc>
          <w:tcPr>
            <w:tcW w:w="29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Руководитель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организации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1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86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Служба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природопользования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 охраны окружающей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среды Астраханской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области</w:t>
            </w:r>
          </w:p>
        </w:tc>
        <w:tc>
          <w:tcPr>
            <w:tcW w:w="313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414040, г. Астрахань, ул. Красная Набережная, 49 а, телефон 51-09-19</w:t>
            </w:r>
          </w:p>
        </w:tc>
        <w:tc>
          <w:tcPr>
            <w:tcW w:w="29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Юнусов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Румиль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Исламович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88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24.</w:t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Сведения об иных лицах, на которые возложены обязательства по охране ООПТ: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0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4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62" w:hRule="atLeast"/>
        </w:trPr>
        <w:tc>
          <w:tcPr>
            <w:tcW w:w="321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организации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Адрес организации,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телефон</w:t>
            </w:r>
          </w:p>
        </w:tc>
        <w:tc>
          <w:tcPr>
            <w:tcW w:w="196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Руководитель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организации</w:t>
            </w:r>
          </w:p>
        </w:tc>
        <w:tc>
          <w:tcPr>
            <w:tcW w:w="239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Кадастровый номер земельного участка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560" w:hRule="atLeast"/>
        </w:trPr>
        <w:tc>
          <w:tcPr>
            <w:tcW w:w="321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МО «Наримановский район»</w:t>
            </w:r>
          </w:p>
        </w:tc>
        <w:tc>
          <w:tcPr>
            <w:tcW w:w="297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416111, Астраханская область, г. Нариманов,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ул. Центральная, 10,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тел. 8 (85171)702-60</w:t>
            </w:r>
          </w:p>
        </w:tc>
        <w:tc>
          <w:tcPr>
            <w:tcW w:w="196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Глава МО «Наримановский район»</w:t>
            </w:r>
          </w:p>
        </w:tc>
        <w:tc>
          <w:tcPr>
            <w:tcW w:w="239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з/у неразграниченной собственности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780" w:hRule="atLeast"/>
        </w:trPr>
        <w:tc>
          <w:tcPr>
            <w:tcW w:w="321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Собственник</w:t>
            </w:r>
          </w:p>
        </w:tc>
        <w:tc>
          <w:tcPr>
            <w:tcW w:w="297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6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9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к/н 30:08:110301:38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15" w:hRule="atLeast"/>
        </w:trPr>
        <w:tc>
          <w:tcPr>
            <w:tcW w:w="321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Религиозная организация «Ахтубинская Епархия Русской Православной Церкви (Московский Патриархат)</w:t>
            </w:r>
          </w:p>
        </w:tc>
        <w:tc>
          <w:tcPr>
            <w:tcW w:w="297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Астраханская область, г. Ахтубинск, ул. Волгоградская, 111 «а»,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тел. 8 (512) 44-27-33</w:t>
            </w:r>
          </w:p>
        </w:tc>
        <w:tc>
          <w:tcPr>
            <w:tcW w:w="196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Епископ Ахтубинский и Енотаевский Матфей</w:t>
            </w:r>
          </w:p>
        </w:tc>
        <w:tc>
          <w:tcPr>
            <w:tcW w:w="239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к/н 30:08:110301:158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75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25.</w:t>
            </w:r>
          </w:p>
        </w:tc>
        <w:tc>
          <w:tcPr>
            <w:tcW w:w="1006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Общий режим охраны и использования ООПТ</w:t>
            </w:r>
          </w:p>
        </w:tc>
      </w:tr>
      <w:tr>
        <w:trPr>
          <w:trHeight w:val="239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066" w:type="dxa"/>
            <w:gridSpan w:val="11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 территории памятника природы запрещается: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•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ab/>
              <w:t>загрязнение и замусоривание памятника природы;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•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ab/>
              <w:t>применение ядохимикатов и минеральных удобрений;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•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ab/>
              <w:t>движение автотранспорта вне дорог общего пользования;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•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ab/>
              <w:t>сбор редких, лекарственных, занесенных в Красную книгу видов растений и их частей;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•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ab/>
              <w:t>повреждение, разрушение растительного и почвенного покрова;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•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ab/>
              <w:t>уничтожение животных, разорение их гнезд, нор и прочих укрытий и жилищ;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•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ab/>
              <w:t>сброс сточных вод (включая дренажные и сбросные воды с сельхозугодий ирисовых чеков);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•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ab/>
              <w:t>предоставление участков под застройку, свалку, складирование материалов;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•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ab/>
              <w:t>иная хозяйственная деятельность, изменяющая или разрушающая естественное состояние природного объекта.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firstLine="601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 границах памятника природы Астраханской области «Дендропарк курорта «Тинаки-1» допускается: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•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ab/>
              <w:t>рубка ухода за лесом;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•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ab/>
              <w:t>лесовосстановительные работы;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•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ab/>
              <w:t>необходимые противопожарные и санитарные мероприятия;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•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ab/>
              <w:t>благоустройство участка;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•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ab/>
              <w:t>регулируемая рекреация.</w:t>
            </w:r>
          </w:p>
        </w:tc>
      </w:tr>
      <w:tr>
        <w:trPr>
          <w:trHeight w:val="150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26.</w:t>
            </w:r>
          </w:p>
        </w:tc>
        <w:tc>
          <w:tcPr>
            <w:tcW w:w="1006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Зонирование территории ООПТ</w:t>
            </w:r>
          </w:p>
        </w:tc>
      </w:tr>
      <w:tr>
        <w:trPr>
          <w:trHeight w:val="75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06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Отсутствует.</w:t>
            </w:r>
          </w:p>
        </w:tc>
      </w:tr>
      <w:tr>
        <w:trPr>
          <w:trHeight w:val="88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27.</w:t>
            </w:r>
          </w:p>
        </w:tc>
        <w:tc>
          <w:tcPr>
            <w:tcW w:w="1006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Режим охранной зоны</w:t>
            </w:r>
          </w:p>
        </w:tc>
      </w:tr>
      <w:tr>
        <w:trPr>
          <w:trHeight w:val="113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06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Охранная зона отсутствует.</w:t>
            </w:r>
          </w:p>
        </w:tc>
      </w:tr>
      <w:tr>
        <w:trPr>
          <w:trHeight w:val="150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28.</w:t>
            </w:r>
          </w:p>
        </w:tc>
        <w:tc>
          <w:tcPr>
            <w:tcW w:w="1006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>
        <w:trPr>
          <w:trHeight w:val="138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06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14.07.2022 № 266-ФЗ «О внесении изменений в Федеральный закон «О 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«О 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</w:tc>
      </w:tr>
      <w:tr>
        <w:trPr>
          <w:trHeight w:val="126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29.</w:t>
            </w:r>
          </w:p>
        </w:tc>
        <w:tc>
          <w:tcPr>
            <w:tcW w:w="10066" w:type="dxa"/>
            <w:gridSpan w:val="11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both"/>
              <w:outlineLvl w:val="1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Просветительские и рекреационные объекты на ООПТ</w:t>
            </w:r>
          </w:p>
        </w:tc>
      </w:tr>
      <w:tr>
        <w:trPr>
          <w:trHeight w:val="150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06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Данные отсутствуют.</w:t>
            </w:r>
          </w:p>
        </w:tc>
      </w:tr>
      <w:tr>
        <w:trPr>
          <w:trHeight w:val="150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30.</w:t>
            </w:r>
          </w:p>
        </w:tc>
        <w:tc>
          <w:tcPr>
            <w:tcW w:w="1006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Составитель</w:t>
            </w:r>
          </w:p>
        </w:tc>
      </w:tr>
      <w:tr>
        <w:trPr>
          <w:trHeight w:val="113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06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Государственный инспектор Астраханской области в области охраны окружающей среды службы природопользования и охраны окружающей среды Астраханской области Кущенко Н.В., 8 (8512) 61-04-00.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60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ConsPlusNormal"/>
        <w:jc w:val="center"/>
        <w:rPr/>
      </w:pPr>
      <w:r>
        <w:rPr/>
        <w:drawing>
          <wp:inline distT="0" distB="0" distL="0" distR="0">
            <wp:extent cx="4346575" cy="4611370"/>
            <wp:effectExtent l="0" t="0" r="0" b="0"/>
            <wp:docPr id="2" name="Рисунок 1" descr="C:\Users\ATimirkaeva\Downloads\2024-03-13_09-42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ATimirkaeva\Downloads\2024-03-13_09-42-20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75" cy="461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993" w:right="850" w:gutter="0" w:header="0" w:top="851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modern"/>
    <w:pitch w:val="fixed"/>
  </w:font>
  <w:font w:name="Cambria">
    <w:charset w:val="01"/>
    <w:family w:val="modern"/>
    <w:pitch w:val="fixed"/>
  </w:font>
  <w:font w:name="Times New Roman">
    <w:charset w:val="01"/>
    <w:family w:val="modern"/>
    <w:pitch w:val="fixed"/>
  </w:font>
  <w:font w:name="Tahoma">
    <w:charset w:val="01"/>
    <w:family w:val="modern"/>
    <w:pitch w:val="fixed"/>
  </w:font>
  <w:font w:name="Arial">
    <w:charset w:val="01"/>
    <w:family w:val="modern"/>
    <w:pitch w:val="fixed"/>
  </w:font>
  <w:font w:name="PT Astra Serif">
    <w:charset w:val="01"/>
    <w:family w:val="modern"/>
    <w:pitch w:val="fixed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3dc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373dc8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373dc8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767cd3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554e94"/>
    <w:rPr>
      <w:color w:val="0000FF"/>
      <w:u w:val="single"/>
    </w:rPr>
  </w:style>
  <w:style w:type="character" w:styleId="Annotationreference">
    <w:name w:val="annotation reference"/>
    <w:semiHidden/>
    <w:qFormat/>
    <w:rsid w:val="00e548c8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semiHidden/>
    <w:qFormat/>
    <w:rsid w:val="00e548c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Текст выноски Знак"/>
    <w:basedOn w:val="DefaultParagraphFont"/>
    <w:link w:val="BalloonText"/>
    <w:semiHidden/>
    <w:qFormat/>
    <w:rsid w:val="00e548c8"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Верхний колонтитул Знак"/>
    <w:basedOn w:val="DefaultParagraphFont"/>
    <w:qFormat/>
    <w:rsid w:val="00e548c8"/>
    <w:rPr>
      <w:rFonts w:ascii="Times New Roman" w:hAnsi="Times New Roman" w:eastAsia="Times New Roman" w:cs="Times New Roman"/>
      <w:szCs w:val="24"/>
      <w:lang w:eastAsia="ru-RU"/>
    </w:rPr>
  </w:style>
  <w:style w:type="character" w:styleId="Pagenumber">
    <w:name w:val="page number"/>
    <w:qFormat/>
    <w:rsid w:val="00e548c8"/>
    <w:rPr/>
  </w:style>
  <w:style w:type="character" w:styleId="Style14" w:customStyle="1">
    <w:name w:val="Нижний колонтитул Знак"/>
    <w:basedOn w:val="DefaultParagraphFont"/>
    <w:qFormat/>
    <w:rsid w:val="00e548c8"/>
    <w:rPr>
      <w:rFonts w:ascii="Times New Roman" w:hAnsi="Times New Roman" w:eastAsia="Times New Roman" w:cs="Times New Roman"/>
      <w:szCs w:val="24"/>
      <w:lang w:eastAsia="ru-RU"/>
    </w:rPr>
  </w:style>
  <w:style w:type="character" w:styleId="Style15" w:customStyle="1">
    <w:name w:val="Схема документа Знак"/>
    <w:basedOn w:val="DefaultParagraphFont"/>
    <w:link w:val="DocumentMap"/>
    <w:semiHidden/>
    <w:qFormat/>
    <w:rsid w:val="00e548c8"/>
    <w:rPr>
      <w:rFonts w:ascii="Tahoma" w:hAnsi="Tahoma" w:eastAsia="Times New Roman" w:cs="Tahoma"/>
      <w:sz w:val="20"/>
      <w:szCs w:val="20"/>
      <w:shd w:fill="000080" w:val="clear"/>
      <w:lang w:eastAsia="ru-RU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767cd3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11" w:customStyle="1">
    <w:name w:val="Заголовок 1 Знак"/>
    <w:basedOn w:val="DefaultParagraphFont"/>
    <w:uiPriority w:val="9"/>
    <w:qFormat/>
    <w:rsid w:val="00373dc8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373dc8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Style16">
    <w:name w:val="FollowedHyperlink"/>
    <w:basedOn w:val="DefaultParagraphFont"/>
    <w:uiPriority w:val="99"/>
    <w:semiHidden/>
    <w:unhideWhenUsed/>
    <w:rsid w:val="008b5eab"/>
    <w:rPr>
      <w:color w:val="800080" w:themeColor="followedHyperlink"/>
      <w:u w:val="single"/>
    </w:rPr>
  </w:style>
  <w:style w:type="character" w:styleId="Style17" w:customStyle="1">
    <w:name w:val="Обычный текст Знак"/>
    <w:basedOn w:val="DefaultParagraphFont"/>
    <w:link w:val="Style41"/>
    <w:qFormat/>
    <w:rsid w:val="00c27b98"/>
    <w:rPr>
      <w:rFonts w:ascii="Times New Roman" w:hAnsi="Times New Roman" w:eastAsia="Times New Roman" w:cs="Times New Roman"/>
      <w:sz w:val="24"/>
      <w:szCs w:val="24"/>
      <w:lang w:val="en-US" w:eastAsia="ar-SA" w:bidi="en-US"/>
    </w:rPr>
  </w:style>
  <w:style w:type="character" w:styleId="Style18" w:customStyle="1">
    <w:name w:val="Мултаново Знак"/>
    <w:basedOn w:val="DefaultParagraphFont"/>
    <w:link w:val="Style42"/>
    <w:qFormat/>
    <w:rsid w:val="00390ec1"/>
    <w:rPr>
      <w:rFonts w:ascii="Arial" w:hAnsi="Arial" w:cs="Arial"/>
      <w:sz w:val="24"/>
      <w:szCs w:val="24"/>
    </w:rPr>
  </w:style>
  <w:style w:type="character" w:styleId="Style19" w:customStyle="1">
    <w:name w:val="Калининский Знак"/>
    <w:basedOn w:val="Style18"/>
    <w:link w:val="Style43"/>
    <w:qFormat/>
    <w:rsid w:val="00390ec1"/>
    <w:rPr>
      <w:rFonts w:ascii="Arial" w:hAnsi="Arial" w:cs="Arial"/>
      <w:sz w:val="24"/>
      <w:szCs w:val="24"/>
    </w:rPr>
  </w:style>
  <w:style w:type="character" w:styleId="22" w:customStyle="1">
    <w:name w:val="Основной текст с отступом 2 Знак"/>
    <w:basedOn w:val="DefaultParagraphFont"/>
    <w:link w:val="BodyTextIndent2"/>
    <w:semiHidden/>
    <w:qFormat/>
    <w:rsid w:val="00e36d94"/>
    <w:rPr>
      <w:rFonts w:ascii="Times New Roman" w:hAnsi="Times New Roman" w:eastAsia="Times New Roman" w:cs="Times New Roman"/>
      <w:sz w:val="24"/>
      <w:szCs w:val="24"/>
    </w:rPr>
  </w:style>
  <w:style w:type="character" w:styleId="211" w:customStyle="1">
    <w:name w:val="Основной текст с отступом 2 Знак1"/>
    <w:basedOn w:val="DefaultParagraphFont"/>
    <w:uiPriority w:val="99"/>
    <w:semiHidden/>
    <w:qFormat/>
    <w:rsid w:val="00e36d94"/>
    <w:rPr/>
  </w:style>
  <w:style w:type="character" w:styleId="Style20" w:customStyle="1">
    <w:name w:val="Основной текст Знак"/>
    <w:basedOn w:val="DefaultParagraphFont"/>
    <w:uiPriority w:val="99"/>
    <w:qFormat/>
    <w:rsid w:val="006e0c85"/>
    <w:rPr/>
  </w:style>
  <w:style w:type="character" w:styleId="Style21" w:customStyle="1">
    <w:name w:val="Красная строка Знак"/>
    <w:basedOn w:val="Style20"/>
    <w:uiPriority w:val="99"/>
    <w:qFormat/>
    <w:rsid w:val="006e0c85"/>
    <w:rPr/>
  </w:style>
  <w:style w:type="character" w:styleId="Style22" w:customStyle="1">
    <w:name w:val="Основной текст с отступом Знак"/>
    <w:basedOn w:val="DefaultParagraphFont"/>
    <w:uiPriority w:val="99"/>
    <w:semiHidden/>
    <w:qFormat/>
    <w:rsid w:val="001e174f"/>
    <w:rPr/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2f2012"/>
    <w:rPr>
      <w:rFonts w:ascii="Calibri" w:hAnsi="Calibri" w:eastAsia="Times New Roman" w:cs="Times New Roman"/>
      <w:sz w:val="16"/>
      <w:szCs w:val="16"/>
      <w:lang w:eastAsia="ru-RU"/>
    </w:rPr>
  </w:style>
  <w:style w:type="character" w:styleId="Style23" w:customStyle="1">
    <w:name w:val="Абзац списка Знак"/>
    <w:link w:val="ListParagraph"/>
    <w:uiPriority w:val="34"/>
    <w:qFormat/>
    <w:locked/>
    <w:rsid w:val="00be4c3b"/>
    <w:rPr/>
  </w:style>
  <w:style w:type="character" w:styleId="Style24" w:customStyle="1">
    <w:name w:val="ТЕКСТ Знак"/>
    <w:basedOn w:val="DefaultParagraphFont"/>
    <w:link w:val="Style45"/>
    <w:qFormat/>
    <w:rsid w:val="00174a4a"/>
    <w:rPr>
      <w:rFonts w:ascii="Arial" w:hAnsi="Arial" w:cs="Arial"/>
      <w:sz w:val="24"/>
      <w:szCs w:val="24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Arial" w:hAnsi="Arial" w:eastAsia="Tahoma" w:cs="Noto Sans Devanagari"/>
      <w:sz w:val="28"/>
      <w:szCs w:val="28"/>
    </w:rPr>
  </w:style>
  <w:style w:type="paragraph" w:styleId="Style26">
    <w:name w:val="Body Text"/>
    <w:basedOn w:val="Normal"/>
    <w:link w:val="Style20"/>
    <w:uiPriority w:val="99"/>
    <w:unhideWhenUsed/>
    <w:rsid w:val="006e0c85"/>
    <w:pPr>
      <w:spacing w:before="0" w:after="120"/>
    </w:pPr>
    <w:rPr/>
  </w:style>
  <w:style w:type="paragraph" w:styleId="Style27">
    <w:name w:val="List"/>
    <w:basedOn w:val="Style26"/>
    <w:pPr/>
    <w:rPr>
      <w:rFonts w:ascii="PT Astra Serif" w:hAnsi="PT Astra Serif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8f14fc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8f14fc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2" w:customStyle="1">
    <w:name w:val="Обычный1"/>
    <w:qFormat/>
    <w:rsid w:val="00e548c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30" w:customStyle="1">
    <w:name w:val="Название раздела"/>
    <w:basedOn w:val="Normal"/>
    <w:qFormat/>
    <w:rsid w:val="00e548c8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paragraph" w:styleId="Style31" w:customStyle="1">
    <w:name w:val="Разделитель таблиц"/>
    <w:basedOn w:val="Normal"/>
    <w:qFormat/>
    <w:rsid w:val="00e548c8"/>
    <w:pPr>
      <w:spacing w:lineRule="exact" w:line="14" w:before="0" w:after="0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Style32">
    <w:name w:val="Содержимое таблицы"/>
    <w:basedOn w:val="Normal"/>
    <w:qFormat/>
    <w:pPr/>
    <w:rPr/>
  </w:style>
  <w:style w:type="paragraph" w:styleId="Style33" w:customStyle="1">
    <w:name w:val="Заголовок таблицы"/>
    <w:basedOn w:val="12"/>
    <w:qFormat/>
    <w:rsid w:val="00e548c8"/>
    <w:pPr>
      <w:keepNext w:val="true"/>
      <w:jc w:val="center"/>
    </w:pPr>
    <w:rPr>
      <w:b/>
      <w:sz w:val="22"/>
    </w:rPr>
  </w:style>
  <w:style w:type="paragraph" w:styleId="Style34" w:customStyle="1">
    <w:name w:val="Текст таблицы"/>
    <w:basedOn w:val="12"/>
    <w:qFormat/>
    <w:rsid w:val="00e548c8"/>
    <w:pPr/>
    <w:rPr>
      <w:sz w:val="22"/>
    </w:rPr>
  </w:style>
  <w:style w:type="paragraph" w:styleId="Style35" w:customStyle="1">
    <w:name w:val="Заголовок таблицы повторяющийся"/>
    <w:basedOn w:val="12"/>
    <w:qFormat/>
    <w:rsid w:val="00e548c8"/>
    <w:pPr>
      <w:jc w:val="center"/>
    </w:pPr>
    <w:rPr>
      <w:b/>
      <w:sz w:val="22"/>
    </w:rPr>
  </w:style>
  <w:style w:type="paragraph" w:styleId="Annotationtext">
    <w:name w:val="annotation text"/>
    <w:basedOn w:val="Normal"/>
    <w:link w:val="Style11"/>
    <w:semiHidden/>
    <w:qFormat/>
    <w:rsid w:val="00e548c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Style12"/>
    <w:semiHidden/>
    <w:qFormat/>
    <w:rsid w:val="00e548c8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Style36">
    <w:name w:val="Колонтитул"/>
    <w:basedOn w:val="Normal"/>
    <w:qFormat/>
    <w:pPr/>
    <w:rPr/>
  </w:style>
  <w:style w:type="paragraph" w:styleId="Style37">
    <w:name w:val="Header"/>
    <w:basedOn w:val="Normal"/>
    <w:link w:val="Style13"/>
    <w:rsid w:val="00e548c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Style38">
    <w:name w:val="Footer"/>
    <w:basedOn w:val="Normal"/>
    <w:link w:val="Style14"/>
    <w:rsid w:val="00e548c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Style39" w:customStyle="1">
    <w:name w:val="Название подраздела"/>
    <w:basedOn w:val="12"/>
    <w:qFormat/>
    <w:rsid w:val="00e548c8"/>
    <w:pPr>
      <w:keepNext w:val="true"/>
      <w:spacing w:before="240" w:after="0"/>
      <w:jc w:val="center"/>
    </w:pPr>
    <w:rPr>
      <w:b/>
      <w:sz w:val="22"/>
    </w:rPr>
  </w:style>
  <w:style w:type="paragraph" w:styleId="Style40" w:customStyle="1">
    <w:name w:val="Автонумератор в таблице"/>
    <w:basedOn w:val="12"/>
    <w:qFormat/>
    <w:rsid w:val="00e548c8"/>
    <w:pPr>
      <w:numPr>
        <w:ilvl w:val="0"/>
        <w:numId w:val="1"/>
      </w:numPr>
      <w:snapToGrid w:val="false"/>
      <w:jc w:val="center"/>
    </w:pPr>
    <w:rPr>
      <w:sz w:val="22"/>
    </w:rPr>
  </w:style>
  <w:style w:type="paragraph" w:styleId="DocumentMap">
    <w:name w:val="Document Map"/>
    <w:basedOn w:val="Normal"/>
    <w:link w:val="Style15"/>
    <w:semiHidden/>
    <w:qFormat/>
    <w:rsid w:val="00e548c8"/>
    <w:pPr>
      <w:shd w:val="clear" w:color="auto" w:fill="000080"/>
      <w:spacing w:lineRule="auto" w:line="240" w:before="0" w:after="0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Cell" w:customStyle="1">
    <w:name w:val="ConsPlusCell"/>
    <w:qFormat/>
    <w:rsid w:val="00e548c8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23"/>
    <w:uiPriority w:val="34"/>
    <w:qFormat/>
    <w:rsid w:val="00f0078c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8b5ea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1" w:customStyle="1">
    <w:name w:val="Обычный текст"/>
    <w:basedOn w:val="Normal"/>
    <w:link w:val="Style17"/>
    <w:qFormat/>
    <w:rsid w:val="00c27b98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val="en-US" w:eastAsia="ar-SA" w:bidi="en-US"/>
    </w:rPr>
  </w:style>
  <w:style w:type="paragraph" w:styleId="Style42" w:customStyle="1">
    <w:name w:val="Мултаново"/>
    <w:basedOn w:val="Normal"/>
    <w:link w:val="Style18"/>
    <w:qFormat/>
    <w:rsid w:val="00390ec1"/>
    <w:pPr>
      <w:spacing w:lineRule="auto" w:line="276" w:before="0" w:after="0"/>
      <w:ind w:firstLine="709"/>
      <w:jc w:val="both"/>
    </w:pPr>
    <w:rPr>
      <w:rFonts w:ascii="Arial" w:hAnsi="Arial" w:cs="Arial"/>
      <w:sz w:val="24"/>
      <w:szCs w:val="24"/>
    </w:rPr>
  </w:style>
  <w:style w:type="paragraph" w:styleId="Style43" w:customStyle="1">
    <w:name w:val="Калининский"/>
    <w:basedOn w:val="Style42"/>
    <w:link w:val="Style19"/>
    <w:qFormat/>
    <w:rsid w:val="00390ec1"/>
    <w:pPr/>
    <w:rPr/>
  </w:style>
  <w:style w:type="paragraph" w:styleId="221" w:customStyle="1">
    <w:name w:val="Основной текст 22"/>
    <w:basedOn w:val="Normal"/>
    <w:qFormat/>
    <w:rsid w:val="00b345ce"/>
    <w:pPr>
      <w:spacing w:lineRule="auto" w:line="480" w:before="0" w:after="120"/>
    </w:pPr>
    <w:rPr>
      <w:rFonts w:ascii="Calibri" w:hAnsi="Calibri" w:eastAsia="Times New Roman" w:cs="Times New Roman"/>
      <w:sz w:val="24"/>
      <w:szCs w:val="24"/>
      <w:lang w:val="en-US" w:bidi="en-US"/>
    </w:rPr>
  </w:style>
  <w:style w:type="paragraph" w:styleId="13" w:customStyle="1">
    <w:name w:val="Текст_1"/>
    <w:basedOn w:val="Normal"/>
    <w:qFormat/>
    <w:rsid w:val="00763cf9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2"/>
    <w:semiHidden/>
    <w:unhideWhenUsed/>
    <w:qFormat/>
    <w:rsid w:val="00e36d94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Style44">
    <w:name w:val="Body Text Indent"/>
    <w:basedOn w:val="Normal"/>
    <w:link w:val="Style22"/>
    <w:uiPriority w:val="99"/>
    <w:semiHidden/>
    <w:unhideWhenUsed/>
    <w:rsid w:val="001e174f"/>
    <w:pPr>
      <w:spacing w:before="0" w:after="120"/>
      <w:ind w:left="283" w:hanging="0"/>
    </w:pPr>
    <w:rPr/>
  </w:style>
  <w:style w:type="paragraph" w:styleId="BodyTextIndent3">
    <w:name w:val="Body Text Indent 3"/>
    <w:basedOn w:val="Normal"/>
    <w:link w:val="3"/>
    <w:unhideWhenUsed/>
    <w:qFormat/>
    <w:rsid w:val="002f2012"/>
    <w:pPr>
      <w:spacing w:lineRule="auto" w:line="276" w:before="0" w:after="120"/>
      <w:ind w:left="283" w:hanging="0"/>
    </w:pPr>
    <w:rPr>
      <w:rFonts w:ascii="Calibri" w:hAnsi="Calibri" w:eastAsia="Times New Roman" w:cs="Times New Roman"/>
      <w:sz w:val="16"/>
      <w:szCs w:val="16"/>
      <w:lang w:eastAsia="ru-RU"/>
    </w:rPr>
  </w:style>
  <w:style w:type="paragraph" w:styleId="31" w:customStyle="1">
    <w:name w:val="Основной текст с отступом 31"/>
    <w:basedOn w:val="Normal"/>
    <w:qFormat/>
    <w:rsid w:val="00320746"/>
    <w:pPr>
      <w:suppressAutoHyphens w:val="true"/>
      <w:spacing w:lineRule="auto" w:line="240" w:before="0" w:after="120"/>
      <w:ind w:left="283" w:hanging="0"/>
    </w:pPr>
    <w:rPr>
      <w:rFonts w:ascii="Times New Roman" w:hAnsi="Times New Roman" w:eastAsia="Calibri" w:cs="Calibri"/>
      <w:sz w:val="16"/>
      <w:szCs w:val="16"/>
      <w:lang w:eastAsia="ar-SA"/>
    </w:rPr>
  </w:style>
  <w:style w:type="paragraph" w:styleId="Style45" w:customStyle="1">
    <w:name w:val="ТЕКСТ"/>
    <w:basedOn w:val="Normal"/>
    <w:link w:val="Style24"/>
    <w:qFormat/>
    <w:rsid w:val="00174a4a"/>
    <w:pPr>
      <w:spacing w:lineRule="auto" w:line="276" w:before="0" w:after="0"/>
      <w:ind w:firstLine="709"/>
      <w:jc w:val="both"/>
    </w:pPr>
    <w:rPr>
      <w:rFonts w:ascii="Arial" w:hAnsi="Arial" w:cs="Arial"/>
      <w:sz w:val="24"/>
      <w:szCs w:val="24"/>
    </w:rPr>
  </w:style>
  <w:style w:type="paragraph" w:styleId="Style4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4" w:customStyle="1">
    <w:name w:val="Нет списка1"/>
    <w:uiPriority w:val="99"/>
    <w:semiHidden/>
    <w:unhideWhenUsed/>
    <w:qFormat/>
    <w:rsid w:val="00e548c8"/>
  </w:style>
  <w:style w:type="numbering" w:styleId="23" w:customStyle="1">
    <w:name w:val="Нет списка2"/>
    <w:uiPriority w:val="99"/>
    <w:semiHidden/>
    <w:unhideWhenUsed/>
    <w:qFormat/>
    <w:rsid w:val="008b5eab"/>
  </w:style>
  <w:style w:type="numbering" w:styleId="111" w:customStyle="1">
    <w:name w:val="Нет списка11"/>
    <w:uiPriority w:val="99"/>
    <w:semiHidden/>
    <w:unhideWhenUsed/>
    <w:qFormat/>
    <w:rsid w:val="008b5eab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2"/>
    <w:uiPriority w:val="39"/>
    <w:rsid w:val="008b5ea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4646</TotalTime>
  <Application>LibreOffice/7.5.6.2$Linux_X86_64 LibreOffice_project/50$Build-2</Application>
  <AppVersion>15.0000</AppVersion>
  <Pages>9</Pages>
  <Words>2241</Words>
  <Characters>15803</Characters>
  <CharactersWithSpaces>17761</CharactersWithSpaces>
  <Paragraphs>304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2021-12-16T12:29:00Z</dcterms:created>
  <dc:creator>Кущенко Наталья Викторовна</dc:creator>
  <dc:description/>
  <dc:language>ru-RU</dc:language>
  <cp:lastModifiedBy/>
  <cp:lastPrinted>2023-01-19T11:24:00Z</cp:lastPrinted>
  <dcterms:modified xsi:type="dcterms:W3CDTF">2024-11-06T16:05:25Z</dcterms:modified>
  <cp:revision>486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