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Pr="009C3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030B1F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  <w:r w:rsidR="00F87DF4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4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="00F87DF4">
        <w:rPr>
          <w:rFonts w:ascii="Times New Roman" w:hAnsi="Times New Roman" w:cs="Times New Roman"/>
          <w:b/>
          <w:sz w:val="36"/>
          <w:szCs w:val="36"/>
        </w:rPr>
        <w:t xml:space="preserve">«Озеро </w:t>
      </w:r>
      <w:r w:rsidR="00E610A0">
        <w:rPr>
          <w:rFonts w:ascii="Times New Roman" w:hAnsi="Times New Roman" w:cs="Times New Roman"/>
          <w:b/>
          <w:sz w:val="36"/>
          <w:szCs w:val="36"/>
        </w:rPr>
        <w:t>Тинаки»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34B" w:rsidRDefault="001A534B" w:rsidP="001A534B">
      <w:pPr>
        <w:rPr>
          <w:rFonts w:ascii="Times New Roman" w:hAnsi="Times New Roman" w:cs="Times New Roman"/>
          <w:b/>
          <w:sz w:val="36"/>
          <w:szCs w:val="36"/>
        </w:rPr>
      </w:pPr>
    </w:p>
    <w:p w:rsidR="00C27F1B" w:rsidRDefault="00C27F1B" w:rsidP="001A534B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8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339"/>
        <w:gridCol w:w="2522"/>
        <w:gridCol w:w="236"/>
        <w:gridCol w:w="364"/>
        <w:gridCol w:w="1843"/>
        <w:gridCol w:w="808"/>
        <w:gridCol w:w="2953"/>
        <w:gridCol w:w="142"/>
        <w:gridCol w:w="116"/>
      </w:tblGrid>
      <w:tr w:rsidR="008B5EAB" w:rsidRPr="008B5EAB" w:rsidTr="004F16BE">
        <w:trPr>
          <w:gridAfter w:val="1"/>
          <w:wAfter w:w="11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4F16BE">
        <w:trPr>
          <w:gridAfter w:val="1"/>
          <w:wAfter w:w="11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365674">
            <w:pPr>
              <w:pStyle w:val="ConsPlusNormal"/>
              <w:ind w:firstLine="601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16EA0"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D16EA0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C27F1B">
              <w:rPr>
                <w:rFonts w:cs="Times New Roman"/>
                <w:sz w:val="24"/>
                <w:szCs w:val="24"/>
              </w:rPr>
              <w:t>Озеро Тинаки».</w:t>
            </w:r>
          </w:p>
        </w:tc>
      </w:tr>
      <w:tr w:rsidR="008B5EAB" w:rsidRPr="008B5EAB" w:rsidTr="004F16BE">
        <w:trPr>
          <w:gridAfter w:val="1"/>
          <w:wAfter w:w="11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4F16BE">
        <w:trPr>
          <w:gridAfter w:val="1"/>
          <w:wAfter w:w="11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365674">
            <w:pPr>
              <w:ind w:firstLine="743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Памятник природы</w:t>
            </w:r>
            <w:r w:rsidR="008B5EAB" w:rsidRPr="00D16EA0">
              <w:rPr>
                <w:sz w:val="24"/>
                <w:szCs w:val="24"/>
              </w:rPr>
              <w:t>.</w:t>
            </w:r>
          </w:p>
        </w:tc>
      </w:tr>
      <w:tr w:rsidR="008B5EAB" w:rsidRPr="008B5EAB" w:rsidTr="004F16BE">
        <w:trPr>
          <w:gridAfter w:val="1"/>
          <w:wAfter w:w="11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4F16BE">
        <w:trPr>
          <w:gridAfter w:val="1"/>
          <w:wAfter w:w="11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365674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4F16BE">
        <w:trPr>
          <w:gridAfter w:val="1"/>
          <w:wAfter w:w="11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4F16BE">
        <w:trPr>
          <w:gridAfter w:val="1"/>
          <w:wAfter w:w="116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C27F1B" w:rsidP="00365674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4F16BE">
        <w:trPr>
          <w:gridAfter w:val="1"/>
          <w:wAfter w:w="116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4F16BE">
        <w:trPr>
          <w:gridAfter w:val="1"/>
          <w:wAfter w:w="116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516256" w:rsidP="00365674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4F16BE">
        <w:trPr>
          <w:gridAfter w:val="1"/>
          <w:wAfter w:w="116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365674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4F16BE">
        <w:trPr>
          <w:gridAfter w:val="1"/>
          <w:wAfter w:w="116" w:type="dxa"/>
          <w:trHeight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365674">
            <w:pPr>
              <w:widowControl w:val="0"/>
              <w:ind w:firstLine="6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53C42">
              <w:rPr>
                <w:sz w:val="24"/>
                <w:szCs w:val="24"/>
              </w:rPr>
              <w:t>.198</w:t>
            </w:r>
            <w:r w:rsidR="001A534B">
              <w:rPr>
                <w:sz w:val="24"/>
                <w:szCs w:val="24"/>
              </w:rPr>
              <w:t>5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C27F1B" w:rsidP="00645267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Памятником природы объявлено озеро Тинаки, обладающее лечебными грязями и лечебной рапой, которые используются бальнеогрязевым курортом «Тинаки» на протяжении 180 лет. </w:t>
            </w:r>
          </w:p>
        </w:tc>
      </w:tr>
      <w:tr w:rsidR="008B5EAB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3C52E8" w:rsidRPr="008B5EAB" w:rsidTr="004F16BE">
        <w:trPr>
          <w:gridAfter w:val="1"/>
          <w:wAfter w:w="116" w:type="dxa"/>
          <w:trHeight w:val="353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4F16BE">
        <w:trPr>
          <w:gridAfter w:val="1"/>
          <w:wAfter w:w="116" w:type="dxa"/>
          <w:trHeight w:val="200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</w:rPr>
              <w:t xml:space="preserve">Решение исполнительного комитета </w:t>
            </w:r>
            <w:r w:rsidR="00A12422">
              <w:rPr>
                <w:sz w:val="24"/>
                <w:szCs w:val="24"/>
              </w:rPr>
              <w:t xml:space="preserve">Астраханского областного Совета народных депутатов </w:t>
            </w:r>
            <w:r w:rsidR="00A12422" w:rsidRPr="00A12422">
              <w:rPr>
                <w:sz w:val="24"/>
                <w:szCs w:val="24"/>
                <w:u w:val="single"/>
              </w:rPr>
              <w:t>от 04.10.198</w:t>
            </w:r>
            <w:r w:rsidR="0001470C">
              <w:rPr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A12422" w:rsidRPr="00A12422">
              <w:rPr>
                <w:sz w:val="24"/>
                <w:szCs w:val="24"/>
                <w:u w:val="single"/>
              </w:rPr>
              <w:t xml:space="preserve"> № 620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DC1588" w:rsidRDefault="00A1242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 Астраханской области</w:t>
            </w:r>
          </w:p>
        </w:tc>
      </w:tr>
      <w:tr w:rsidR="003C52E8" w:rsidRPr="008B5EAB" w:rsidTr="004F16BE">
        <w:trPr>
          <w:gridAfter w:val="1"/>
          <w:wAfter w:w="116" w:type="dxa"/>
          <w:trHeight w:val="268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A12422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B3209A">
              <w:rPr>
                <w:sz w:val="24"/>
                <w:szCs w:val="24"/>
              </w:rPr>
              <w:t>га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12422" w:rsidRPr="008B5EAB" w:rsidTr="004F16BE">
        <w:trPr>
          <w:gridAfter w:val="1"/>
          <w:wAfter w:w="116" w:type="dxa"/>
          <w:trHeight w:val="1624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A12422" w:rsidRPr="008B5EAB" w:rsidRDefault="00A12422" w:rsidP="00A12422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8B5EAB" w:rsidRDefault="00D2667E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A12422" w:rsidRPr="006C3652" w:rsidRDefault="00365674" w:rsidP="00A1242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</w:t>
            </w:r>
            <w:r w:rsidR="00A12422">
              <w:rPr>
                <w:sz w:val="24"/>
                <w:szCs w:val="24"/>
                <w:u w:val="single"/>
              </w:rPr>
              <w:t xml:space="preserve"> 31.08.1995 № 249</w:t>
            </w: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A12422" w:rsidRDefault="00D2667E" w:rsidP="00A12422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паспортов на памятники природы</w:t>
            </w:r>
          </w:p>
        </w:tc>
      </w:tr>
      <w:tr w:rsidR="00A12422" w:rsidRPr="008B5EAB" w:rsidTr="004F16BE">
        <w:trPr>
          <w:gridAfter w:val="1"/>
          <w:wAfter w:w="116" w:type="dxa"/>
          <w:trHeight w:val="1427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A12422" w:rsidRPr="008B5EAB" w:rsidRDefault="00A12422" w:rsidP="00A12422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8B5EAB" w:rsidRDefault="00D2667E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E47F54" w:rsidRDefault="00A12422" w:rsidP="00A12422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12422" w:rsidRPr="00ED6459" w:rsidRDefault="00A12422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A12422" w:rsidRPr="00E47F54" w:rsidRDefault="00A12422" w:rsidP="00A1242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A12422" w:rsidRDefault="00A12422" w:rsidP="00A12422">
            <w:pPr>
              <w:jc w:val="center"/>
              <w:rPr>
                <w:sz w:val="24"/>
                <w:szCs w:val="24"/>
              </w:rPr>
            </w:pPr>
            <w:r w:rsidRPr="00A12422">
              <w:rPr>
                <w:sz w:val="24"/>
                <w:szCs w:val="24"/>
              </w:rPr>
              <w:t>18 га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E47F54" w:rsidRDefault="00A12422" w:rsidP="00A12422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A12422" w:rsidRPr="008B5EAB" w:rsidTr="004F16BE">
        <w:trPr>
          <w:gridAfter w:val="1"/>
          <w:wAfter w:w="116" w:type="dxa"/>
          <w:trHeight w:val="1427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A12422" w:rsidRPr="008B5EAB" w:rsidRDefault="00A12422" w:rsidP="00A12422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8B5EAB" w:rsidRDefault="00D2667E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422" w:rsidRPr="00A12422" w:rsidRDefault="00A12422" w:rsidP="00A12422">
            <w:pPr>
              <w:jc w:val="center"/>
              <w:rPr>
                <w:sz w:val="24"/>
                <w:szCs w:val="24"/>
              </w:rPr>
            </w:pPr>
            <w:r w:rsidRPr="00A12422">
              <w:rPr>
                <w:sz w:val="24"/>
                <w:szCs w:val="24"/>
              </w:rPr>
              <w:t>18 га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</w:p>
        </w:tc>
      </w:tr>
      <w:tr w:rsidR="00A12422" w:rsidRPr="008B5EAB" w:rsidTr="004F16BE">
        <w:trPr>
          <w:gridAfter w:val="1"/>
          <w:wAfter w:w="116" w:type="dxa"/>
          <w:trHeight w:val="1719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A12422" w:rsidRPr="008B5EAB" w:rsidRDefault="00A12422" w:rsidP="00A12422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Default="00D2667E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A12422" w:rsidRDefault="00A12422" w:rsidP="00A12422">
            <w:pPr>
              <w:jc w:val="center"/>
              <w:rPr>
                <w:sz w:val="24"/>
                <w:szCs w:val="24"/>
              </w:rPr>
            </w:pPr>
            <w:r w:rsidRPr="00A12422">
              <w:rPr>
                <w:sz w:val="24"/>
                <w:szCs w:val="24"/>
              </w:rPr>
              <w:t>18 га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Default="00A12422" w:rsidP="00A12422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A12422" w:rsidRPr="00CB201E" w:rsidRDefault="00A12422" w:rsidP="00A12422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091805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4F16BE">
        <w:trPr>
          <w:gridAfter w:val="1"/>
          <w:wAfter w:w="116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091805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4C6EA2">
              <w:rPr>
                <w:b/>
                <w:sz w:val="24"/>
                <w:szCs w:val="24"/>
                <w:lang w:val="en-US"/>
              </w:rPr>
              <w:t>IUCN</w:t>
            </w:r>
            <w:r w:rsidRPr="004C6EA2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4F16BE">
        <w:trPr>
          <w:gridAfter w:val="1"/>
          <w:wAfter w:w="116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91805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4F16BE">
        <w:trPr>
          <w:gridAfter w:val="1"/>
          <w:wAfter w:w="116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91805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4F16BE">
        <w:trPr>
          <w:gridAfter w:val="1"/>
          <w:wAfter w:w="116" w:type="dxa"/>
          <w:trHeight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091805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="008F6EEC">
              <w:rPr>
                <w:sz w:val="24"/>
                <w:szCs w:val="24"/>
              </w:rPr>
              <w:t>Наримановский</w:t>
            </w:r>
            <w:proofErr w:type="spellEnd"/>
            <w:r w:rsidRPr="00807204">
              <w:rPr>
                <w:sz w:val="24"/>
                <w:szCs w:val="24"/>
              </w:rPr>
              <w:t xml:space="preserve"> район</w:t>
            </w:r>
            <w:r w:rsidR="00091805">
              <w:rPr>
                <w:sz w:val="24"/>
                <w:szCs w:val="24"/>
              </w:rPr>
              <w:t>, МО </w:t>
            </w:r>
            <w:r w:rsidR="00F57611">
              <w:rPr>
                <w:sz w:val="24"/>
                <w:szCs w:val="24"/>
              </w:rPr>
              <w:t>«</w:t>
            </w:r>
            <w:proofErr w:type="spellStart"/>
            <w:r w:rsidR="00F57611">
              <w:rPr>
                <w:sz w:val="24"/>
                <w:szCs w:val="24"/>
              </w:rPr>
              <w:t>Солянский</w:t>
            </w:r>
            <w:proofErr w:type="spellEnd"/>
            <w:r w:rsidR="00F57611">
              <w:rPr>
                <w:sz w:val="24"/>
                <w:szCs w:val="24"/>
              </w:rPr>
              <w:t xml:space="preserve"> сельсовет», п. Тинаки. </w:t>
            </w:r>
          </w:p>
          <w:p w:rsidR="00722E96" w:rsidRPr="008B5EAB" w:rsidRDefault="00722E96" w:rsidP="00091805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30:08-9.1.</w:t>
            </w:r>
          </w:p>
        </w:tc>
      </w:tr>
      <w:tr w:rsidR="00B732B3" w:rsidRPr="008B5EAB" w:rsidTr="004F16BE">
        <w:trPr>
          <w:gridAfter w:val="1"/>
          <w:wAfter w:w="116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4F16BE">
        <w:trPr>
          <w:gridAfter w:val="1"/>
          <w:wAfter w:w="116" w:type="dxa"/>
          <w:trHeight w:val="1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9C1AAB" w:rsidP="00091805">
            <w:pPr>
              <w:pStyle w:val="ConsPlusNormal"/>
              <w:ind w:firstLine="6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находится на равнинной местности в северо-восточной части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ильменно-бугрового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ландшафтного комплекса. </w:t>
            </w:r>
          </w:p>
        </w:tc>
      </w:tr>
      <w:tr w:rsidR="00B732B3" w:rsidRPr="008B5EAB" w:rsidTr="004F16BE">
        <w:trPr>
          <w:gridAfter w:val="1"/>
          <w:wAfter w:w="116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4F16BE">
        <w:trPr>
          <w:gridAfter w:val="1"/>
          <w:wAfter w:w="116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9C1AAB" w:rsidP="00091805">
            <w:pPr>
              <w:pStyle w:val="ConsPlusNormal"/>
              <w:ind w:firstLine="6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2B193C">
              <w:rPr>
                <w:rFonts w:cs="Times New Roman"/>
                <w:sz w:val="24"/>
                <w:szCs w:val="24"/>
              </w:rPr>
              <w:t>,0</w:t>
            </w:r>
            <w:r w:rsidR="00DB46B4">
              <w:rPr>
                <w:rFonts w:cs="Times New Roman"/>
                <w:sz w:val="24"/>
                <w:szCs w:val="24"/>
              </w:rPr>
              <w:t xml:space="preserve"> га, в том числе п</w:t>
            </w:r>
            <w:r w:rsidR="00855154">
              <w:rPr>
                <w:rFonts w:cs="Times New Roman"/>
                <w:sz w:val="24"/>
                <w:szCs w:val="24"/>
              </w:rPr>
              <w:t>лощадь морской особо охраняемой</w:t>
            </w:r>
            <w:r w:rsidR="00DB46B4">
              <w:rPr>
                <w:rFonts w:cs="Times New Roman"/>
                <w:sz w:val="24"/>
                <w:szCs w:val="24"/>
              </w:rPr>
              <w:t xml:space="preserve"> акватории – 0,0 га, площадь земельных участков, включенных в границы ООПТ без изъятия из хозяйственного использования – </w:t>
            </w:r>
            <w:r>
              <w:rPr>
                <w:rFonts w:cs="Times New Roman"/>
                <w:sz w:val="24"/>
                <w:szCs w:val="24"/>
              </w:rPr>
              <w:t>18</w:t>
            </w:r>
            <w:r w:rsidR="00DB46B4">
              <w:rPr>
                <w:rFonts w:cs="Times New Roman"/>
                <w:sz w:val="24"/>
                <w:szCs w:val="24"/>
              </w:rPr>
              <w:t>,0 га.</w:t>
            </w:r>
          </w:p>
        </w:tc>
      </w:tr>
      <w:tr w:rsidR="00B732B3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091805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4F16BE">
        <w:trPr>
          <w:gridAfter w:val="1"/>
          <w:wAfter w:w="116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4F16BE">
        <w:trPr>
          <w:gridAfter w:val="1"/>
          <w:wAfter w:w="116" w:type="dxa"/>
          <w:trHeight w:val="1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B732B3" w:rsidRPr="00E67981" w:rsidTr="002B28B3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E67981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893" w:type="dxa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32"/>
              <w:gridCol w:w="1816"/>
              <w:gridCol w:w="1866"/>
              <w:gridCol w:w="1842"/>
              <w:gridCol w:w="2537"/>
            </w:tblGrid>
            <w:tr w:rsidR="00B732B3" w:rsidRPr="00E67981" w:rsidTr="00E67981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E67981" w:rsidTr="00E67981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E67981" w:rsidTr="00E67981">
              <w:trPr>
                <w:cantSplit/>
                <w:tblHeader/>
                <w:jc w:val="center"/>
              </w:trPr>
              <w:tc>
                <w:tcPr>
                  <w:tcW w:w="926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8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22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E67981" w:rsidTr="00E67981">
              <w:trPr>
                <w:cantSplit/>
                <w:tblHeader/>
                <w:jc w:val="center"/>
              </w:trPr>
              <w:tc>
                <w:tcPr>
                  <w:tcW w:w="926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E67981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54"/>
              <w:gridCol w:w="1844"/>
              <w:gridCol w:w="1843"/>
              <w:gridCol w:w="1841"/>
              <w:gridCol w:w="2561"/>
            </w:tblGrid>
            <w:tr w:rsidR="00E67981" w:rsidRPr="00A274FD" w:rsidTr="00E67981">
              <w:trPr>
                <w:cantSplit/>
                <w:tblHeader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02AC5" w:rsidRPr="00A274FD" w:rsidTr="00602AC5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428575.80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1444640.37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46°24'31.268"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47°55'47.211"</w:t>
                  </w:r>
                </w:p>
              </w:tc>
            </w:tr>
            <w:tr w:rsidR="00602AC5" w:rsidRPr="00A274FD" w:rsidTr="00602AC5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428623.03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1444647.91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46°24'32.791"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47°55'47.616"</w:t>
                  </w:r>
                </w:p>
              </w:tc>
            </w:tr>
            <w:tr w:rsidR="00602AC5" w:rsidRPr="00A274FD" w:rsidTr="00602AC5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428659.87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1444676.27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46°24'33.962"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47°55'48.984"</w:t>
                  </w:r>
                </w:p>
              </w:tc>
            </w:tr>
            <w:tr w:rsidR="00602AC5" w:rsidRPr="00A274FD" w:rsidTr="00602AC5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428682.69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1444723.73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46°24'34.664"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47°55'51.231"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428700.91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1444777.44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46°24'35.212"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47°55'53.764"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428738.74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1444937.88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46°24'36.313"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47°56'1.314"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428762.39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1445121.18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46°24'36.937"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47°56'9.918"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428776.30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1445198.32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46°24'37.328"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47°56'13.544"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428808.43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1445269.87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46°24'38.313"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47°56'16.928"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428809.03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1445350.46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46°24'38.270"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47°56'20.700"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428786.03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1445503.16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46°24'37.407"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47°56'27.820"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428781.50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1445572.03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46°24'37.207"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47°56'31.037"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428783.81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1445619.48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46°24'37.245"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47°56'33.260"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428798.56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1445667.85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46°24'37.685"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47°56'35.540"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428796.43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1445695.56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46°24'37.595"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47°56'36.835"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428787.40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1445710.11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46°24'37.291"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47°56'37.505"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428772.38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1445719.50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46°24'36.798"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47°56'37.928"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428754.29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1445724.02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46°24'36.209"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47°56'38.119"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428731.13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1445721.41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46°24'35.461"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47°56'37.971"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428707.39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1445697.96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46°24'34.711"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47°56'36.847"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428692.37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1445668.43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46°24'34.247"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47°56'35.449"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428682.75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1445636.81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46°24'33.961"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47°56'33.958"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428682.44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1445595.62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46°24'33.982"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47°56'32.030"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428671.70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1445557.31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46°24'33.665"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47°56'30.226"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428659.97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1445490.81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46°24'33.336"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47°56'27.101"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428656.97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1445390.70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46°24'33.317"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47°56'22.413"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428645.09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1445314.88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46°24'32.991"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47°56'18.851"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428555.68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1445092.18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46°24'30.269"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47°56'8.331"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428508.91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1444986.04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46°24'28.837"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47°56'3.312"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428505.19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1444842.19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46°24'28.827"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47°55'56.576"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428505.81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1444750.77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46°24'28.918"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47°55'52.299"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428508.86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1444716.24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46°24'29.043"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47°55'50.687"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428511.45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1444688.10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46°24'29.148"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47°55'49.373"</w:t>
                  </w:r>
                </w:p>
              </w:tc>
            </w:tr>
            <w:tr w:rsidR="00602AC5" w:rsidRPr="00A274FD" w:rsidTr="00602AC5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428526.27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2AC5">
                    <w:rPr>
                      <w:sz w:val="24"/>
                      <w:szCs w:val="24"/>
                    </w:rPr>
                    <w:t>1444663.71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46°24'29.647"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2AC5" w:rsidRPr="00602AC5" w:rsidRDefault="00602AC5" w:rsidP="00602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A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47°55'48.248"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4F16BE">
        <w:trPr>
          <w:gridAfter w:val="1"/>
          <w:wAfter w:w="116" w:type="dxa"/>
          <w:trHeight w:val="1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  <w:r w:rsidR="004F4E9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4F16BE">
        <w:trPr>
          <w:gridAfter w:val="1"/>
          <w:wAfter w:w="116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2AC5" w:rsidRPr="008B5EAB" w:rsidRDefault="000F4EEC" w:rsidP="00440B7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40B7E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4F16BE">
        <w:trPr>
          <w:gridAfter w:val="1"/>
          <w:wAfter w:w="116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  <w:r w:rsidR="008F48AF">
              <w:rPr>
                <w:b/>
                <w:sz w:val="24"/>
                <w:szCs w:val="24"/>
              </w:rPr>
              <w:t>:</w:t>
            </w:r>
          </w:p>
          <w:p w:rsidR="004127A8" w:rsidRPr="004127A8" w:rsidRDefault="004127A8" w:rsidP="004127A8">
            <w:pPr>
              <w:ind w:firstLine="743"/>
              <w:jc w:val="both"/>
              <w:rPr>
                <w:sz w:val="24"/>
                <w:szCs w:val="24"/>
              </w:rPr>
            </w:pPr>
            <w:r w:rsidRPr="004127A8">
              <w:rPr>
                <w:sz w:val="24"/>
                <w:szCs w:val="24"/>
              </w:rPr>
              <w:t>Грязи</w:t>
            </w:r>
            <w:r>
              <w:rPr>
                <w:sz w:val="24"/>
                <w:szCs w:val="24"/>
              </w:rPr>
              <w:t xml:space="preserve"> озера Тинаки представляют собой иссиня-черную пластичную липкую массу, обладающую сильным запахом сероводорода. Химический состав сложен, в нем присутствует более четверти химических элементов таблица Д.И. Менделеева. Рапа лежит на поверхности грязи и является водным раствором различных солей. Ее толщина в озере непостоянна и </w:t>
            </w:r>
            <w:r>
              <w:rPr>
                <w:sz w:val="24"/>
                <w:szCs w:val="24"/>
              </w:rPr>
              <w:lastRenderedPageBreak/>
              <w:t xml:space="preserve">колеблется от 3 до 50 см в зависимости от времени года и количества атмосферных осадков. </w:t>
            </w:r>
          </w:p>
        </w:tc>
      </w:tr>
      <w:tr w:rsidR="00B732B3" w:rsidRPr="008B5EAB" w:rsidTr="004F16BE">
        <w:trPr>
          <w:gridAfter w:val="1"/>
          <w:wAfter w:w="116" w:type="dxa"/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 xml:space="preserve">а) </w:t>
            </w:r>
            <w:proofErr w:type="spellStart"/>
            <w:r w:rsidRPr="008B5EAB">
              <w:rPr>
                <w:b/>
              </w:rPr>
              <w:t>нарушенность</w:t>
            </w:r>
            <w:proofErr w:type="spellEnd"/>
            <w:r w:rsidRPr="008B5EAB">
              <w:rPr>
                <w:b/>
              </w:rPr>
              <w:t xml:space="preserve"> территории</w:t>
            </w:r>
          </w:p>
          <w:p w:rsidR="00B732B3" w:rsidRPr="0056053C" w:rsidRDefault="004127A8" w:rsidP="00BE4C3B">
            <w:pPr>
              <w:pStyle w:val="14"/>
              <w:ind w:firstLine="742"/>
              <w:jc w:val="both"/>
            </w:pPr>
            <w:r>
              <w:rPr>
                <w:szCs w:val="26"/>
              </w:rPr>
              <w:t xml:space="preserve">Данные отсутствуют. </w:t>
            </w:r>
          </w:p>
        </w:tc>
      </w:tr>
      <w:tr w:rsidR="00B732B3" w:rsidRPr="008B5EAB" w:rsidTr="004F16BE">
        <w:trPr>
          <w:gridAfter w:val="1"/>
          <w:wAfter w:w="116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4F16BE">
        <w:trPr>
          <w:gridAfter w:val="1"/>
          <w:wAfter w:w="116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7A8" w:rsidRPr="00B3209A" w:rsidRDefault="004127A8" w:rsidP="004127A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3209A">
              <w:rPr>
                <w:rFonts w:cs="Times New Roman"/>
                <w:sz w:val="24"/>
                <w:szCs w:val="24"/>
              </w:rPr>
              <w:t>Основным рельефообразующим фактором для дельты</w:t>
            </w:r>
            <w:r>
              <w:rPr>
                <w:rFonts w:cs="Times New Roman"/>
                <w:sz w:val="24"/>
                <w:szCs w:val="24"/>
              </w:rPr>
              <w:t xml:space="preserve"> Волги является сток наносов. В 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геолого</w:t>
            </w:r>
            <w:proofErr w:type="spellEnd"/>
            <w:r w:rsidR="003A1EBA">
              <w:rPr>
                <w:rFonts w:cs="Times New Roman"/>
                <w:sz w:val="24"/>
                <w:szCs w:val="24"/>
              </w:rPr>
              <w:t>–</w:t>
            </w:r>
            <w:r w:rsidRPr="00B3209A">
              <w:rPr>
                <w:rFonts w:cs="Times New Roman"/>
                <w:sz w:val="24"/>
                <w:szCs w:val="24"/>
              </w:rPr>
              <w:t xml:space="preserve">литологическом строении дельтовой равнины принимают участие современные,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хвалынские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, хазарские и бакинские отложения. Бакинские отложения являются региональным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водоупором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4127A8" w:rsidRPr="00B3209A" w:rsidRDefault="004127A8" w:rsidP="004127A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3209A">
              <w:rPr>
                <w:rFonts w:cs="Times New Roman"/>
                <w:sz w:val="24"/>
                <w:szCs w:val="24"/>
              </w:rPr>
              <w:t xml:space="preserve">Современные осадки имеют различную мощность и включают аллювиальные,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аллювиально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 – морские и делювиальные отложения. Аллювиальные отложения представлены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полойными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, проточными и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ильменными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 осадками. Для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полойных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 образований характерно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переслаивание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 песка и суглинка. В проточных осадках, залегающих преимущественно под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полойными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, реже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ильменными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 отложениями, преобладают мелкозернистые и глинистые пески. </w:t>
            </w:r>
          </w:p>
          <w:p w:rsidR="001F22DF" w:rsidRPr="00AB7AA7" w:rsidRDefault="004127A8" w:rsidP="00AB7AA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3209A">
              <w:rPr>
                <w:rFonts w:cs="Times New Roman"/>
                <w:sz w:val="24"/>
                <w:szCs w:val="24"/>
              </w:rPr>
              <w:t xml:space="preserve"> Отложения водоёмов – отстойников представлены чередующимися слоями суглинков и глин. Подчинённое положение занимают пески. Осадки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ильменно-култучных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 впадин распространены на всей площади дельты, встречаясь на глубине 1 – 7 м. Перекрываются осадки </w:t>
            </w:r>
            <w:proofErr w:type="spellStart"/>
            <w:r w:rsidRPr="00B3209A">
              <w:rPr>
                <w:rFonts w:cs="Times New Roman"/>
                <w:sz w:val="24"/>
                <w:szCs w:val="24"/>
              </w:rPr>
              <w:t>полойными</w:t>
            </w:r>
            <w:proofErr w:type="spellEnd"/>
            <w:r w:rsidRPr="00B3209A">
              <w:rPr>
                <w:rFonts w:cs="Times New Roman"/>
                <w:sz w:val="24"/>
                <w:szCs w:val="24"/>
              </w:rPr>
              <w:t xml:space="preserve"> образованиями. </w:t>
            </w:r>
          </w:p>
        </w:tc>
      </w:tr>
      <w:tr w:rsidR="00B732B3" w:rsidRPr="008B5EAB" w:rsidTr="004F16BE">
        <w:trPr>
          <w:gridAfter w:val="1"/>
          <w:wAfter w:w="116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B3209A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3209A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4F16BE">
        <w:trPr>
          <w:gridAfter w:val="1"/>
          <w:wAfter w:w="116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Территория памятника природы расположена в дельте реки Волги. Под воздействием ряда факторов на территории сформировался умеренный, резко континентальный климат с высокими температурами летом, низкими - зимой, большими годовыми и летними суточными амплитудами температуры воздуха, малым количеством осадков и большой испаряемостью. 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Климат дельты реки Волги имеет свои специфические особенности. Наличие на ее территории значительных водных пространств, лесных насаждений, луговой растительности способствует формированию микроклимата с повышенной влажностью воздуха в теплый период года, более продолжительного безморозного периода. Летом в дневные часы много тепла расходуется на испарение, прогрев воздуха уменьшается, и температура его понижается на 2°-3° С по сравнению с воздухом степных территорий. В ночные часы температура воздуха в пойме и дельте выше, в дневные – ниже по сравнению со степной территорией, снижается вероятность проявления и уровень воздействия суховеев, пыльных бурь. 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>Продолжительность солнечного сияния на территории района составляет 2200-2400 часов в год, суммарная солнечная радиация – до 120 ккал/см2.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>Самые холодные месяца – январь и февраль со среднемесячной температурой -5 0С, самый теплый – июль (+ 340С).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>Абсолютный минимум -150С, абсолютный максимум +400С.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>Характерной особенностью ветрового режима территории является постоянство ветров восточных направлений. В течение большей части года преобладают восточные и юго-восточные ветры (19-36%), достигая максимума в холодный период. В летний период их повторяемость снижается до 16-20%. В теплый период года (июль-август) и в начале осени (сентябрь-октябрь) существенную роль играют ветры западного и северо-западного направлений, повторяемость которых в последнее десятилетие возросла.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В течение года преобладают ветры со скоростями 12-19 км/ч. Среднее количество дней с сильным ветром (более 38 км/ч) составляет 31 день, максимальная скорость ветра составляет 61 км/ч. Пыльные бури наблюдаются в среднем 6 раз в </w:t>
            </w:r>
            <w:proofErr w:type="spellStart"/>
            <w:r w:rsidRPr="00B3209A">
              <w:rPr>
                <w:sz w:val="24"/>
                <w:szCs w:val="24"/>
              </w:rPr>
              <w:t>год.в</w:t>
            </w:r>
            <w:proofErr w:type="spellEnd"/>
            <w:r w:rsidRPr="00B3209A">
              <w:rPr>
                <w:sz w:val="24"/>
                <w:szCs w:val="24"/>
              </w:rPr>
              <w:t xml:space="preserve"> летний период отмечаются самые низкие показатели ветрового режима (количество дней, продолжительность, сила ветра). штили не превышают 4-8% общего числа Штилевая погода способствует застою воздуха и накоплению в нем вредных примесей. Накопление примесей в атмосфере отмечено при туманах, которые наблюдаются в среднем 40 дней в году. 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Наиболее благоприятные условия для накопления вредных примесей в атмосфере складываются в осенне-зимний период. Значительно возрастает уровень загрязнения атмосферного воздуха при туманах, густых дымках, слабо моросящих осадках, сопровождаемых инверсиями температуры воздуха и штилем. Заметное вымывание загрязняющих веществ из атмосферы вызывают сильные дожди. Наблюдаются они преимущественно летом, количество их за сутки может превышать месячную норму осадков. </w:t>
            </w:r>
          </w:p>
          <w:p w:rsidR="00AB7AA7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Согласно агроклиматическому районированию, территория по степени влагообеспеченности относится к очень сухой зоне, по условиям </w:t>
            </w:r>
            <w:proofErr w:type="spellStart"/>
            <w:r w:rsidRPr="00B3209A">
              <w:rPr>
                <w:sz w:val="24"/>
                <w:szCs w:val="24"/>
              </w:rPr>
              <w:t>теплообеспеченности</w:t>
            </w:r>
            <w:proofErr w:type="spellEnd"/>
            <w:r w:rsidRPr="00B3209A">
              <w:rPr>
                <w:sz w:val="24"/>
                <w:szCs w:val="24"/>
              </w:rPr>
              <w:t xml:space="preserve"> летнего </w:t>
            </w:r>
            <w:r w:rsidRPr="00B3209A">
              <w:rPr>
                <w:sz w:val="24"/>
                <w:szCs w:val="24"/>
              </w:rPr>
              <w:lastRenderedPageBreak/>
              <w:t>периода – к жаркому подрайону. Зима умеренно холодная. Сумма температур активной вегетации (среднесуточная температура воздуха выше 10°С) достигает 3600°. Длительность безморозного периода - 170 - 190 дней. В целом территория хорошо обеспечена теплом.</w:t>
            </w:r>
          </w:p>
          <w:p w:rsidR="006432F6" w:rsidRPr="00B3209A" w:rsidRDefault="00AB7AA7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 Годовое количество осадков составляет в среднем 190 мм, из них за теплый период (апрель-сентябрь) выпадает до 90 мм. Максимальное количество осадков наблюдается в </w:t>
            </w:r>
            <w:proofErr w:type="spellStart"/>
            <w:r w:rsidRPr="00B3209A">
              <w:rPr>
                <w:sz w:val="24"/>
                <w:szCs w:val="24"/>
              </w:rPr>
              <w:t>апереле</w:t>
            </w:r>
            <w:proofErr w:type="spellEnd"/>
            <w:r w:rsidRPr="00B3209A">
              <w:rPr>
                <w:sz w:val="24"/>
                <w:szCs w:val="24"/>
              </w:rPr>
              <w:t>-мае (до 20 мм), минимальное - в августе-сентябре (до 10 мм).</w:t>
            </w:r>
          </w:p>
        </w:tc>
      </w:tr>
      <w:tr w:rsidR="00B732B3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4F16BE" w:rsidRPr="008B5EAB" w:rsidTr="004F16BE">
        <w:trPr>
          <w:gridAfter w:val="1"/>
          <w:wAfter w:w="116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5B5DBF" w:rsidRDefault="004F16BE" w:rsidP="00DC37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AA7B0E" w:rsidRDefault="004F16BE" w:rsidP="00DC373D">
            <w:pPr>
              <w:ind w:firstLine="720"/>
              <w:jc w:val="both"/>
              <w:rPr>
                <w:sz w:val="24"/>
                <w:szCs w:val="24"/>
              </w:rPr>
            </w:pPr>
            <w:r w:rsidRPr="00AA7B0E">
              <w:rPr>
                <w:sz w:val="24"/>
                <w:szCs w:val="24"/>
              </w:rPr>
              <w:t xml:space="preserve">Почвенный покров современной дельтовой равнины формируется в условиях ежегодного паводкового увлажнения, постоянного воздействия на почвообразовательный процесс близко залегающих (0,3 – 2,0 м) минерализованных грунтовых вод. Почвообразующими породами являются аллювиальные отложения. Тип почвообразования – пойменно-степной. Для почв дельты характерны тяжелый механический состав, остаточная засолённость и </w:t>
            </w:r>
            <w:proofErr w:type="spellStart"/>
            <w:r w:rsidRPr="00AA7B0E">
              <w:rPr>
                <w:sz w:val="24"/>
                <w:szCs w:val="24"/>
              </w:rPr>
              <w:t>солонцеватость</w:t>
            </w:r>
            <w:proofErr w:type="spellEnd"/>
            <w:r w:rsidRPr="00AA7B0E">
              <w:rPr>
                <w:sz w:val="24"/>
                <w:szCs w:val="24"/>
              </w:rPr>
              <w:t>.</w:t>
            </w:r>
          </w:p>
          <w:p w:rsidR="004F16BE" w:rsidRDefault="004F16BE" w:rsidP="00DC373D">
            <w:pPr>
              <w:ind w:firstLine="720"/>
              <w:jc w:val="both"/>
              <w:rPr>
                <w:sz w:val="24"/>
                <w:szCs w:val="24"/>
              </w:rPr>
            </w:pPr>
            <w:r w:rsidRPr="00AA7B0E">
              <w:rPr>
                <w:sz w:val="24"/>
                <w:szCs w:val="24"/>
              </w:rPr>
              <w:t>Почвенный покров на территории муниципального образования представлен преимущественно аллювиальными дерновыми насыщенными почвами различной степени засоления и их разновидностями, аллювиальными луговыми насыщенными засоленными почвами.</w:t>
            </w:r>
          </w:p>
          <w:p w:rsidR="004F16BE" w:rsidRPr="000F23F6" w:rsidRDefault="004F16BE" w:rsidP="00DC373D">
            <w:pPr>
              <w:ind w:firstLine="720"/>
              <w:jc w:val="both"/>
              <w:rPr>
                <w:sz w:val="24"/>
                <w:szCs w:val="24"/>
              </w:rPr>
            </w:pPr>
            <w:r w:rsidRPr="00AA7B0E">
              <w:rPr>
                <w:sz w:val="24"/>
                <w:szCs w:val="24"/>
              </w:rPr>
              <w:t xml:space="preserve">В замкнутых понижениях рельефа формируются </w:t>
            </w:r>
            <w:proofErr w:type="spellStart"/>
            <w:r w:rsidRPr="00AA7B0E">
              <w:rPr>
                <w:sz w:val="24"/>
                <w:szCs w:val="24"/>
              </w:rPr>
              <w:t>болотно</w:t>
            </w:r>
            <w:proofErr w:type="spellEnd"/>
            <w:r w:rsidRPr="00AA7B0E">
              <w:rPr>
                <w:sz w:val="24"/>
                <w:szCs w:val="24"/>
              </w:rPr>
              <w:t xml:space="preserve"> – </w:t>
            </w:r>
            <w:proofErr w:type="spellStart"/>
            <w:r w:rsidRPr="00AA7B0E">
              <w:rPr>
                <w:sz w:val="24"/>
                <w:szCs w:val="24"/>
              </w:rPr>
              <w:t>ильменные</w:t>
            </w:r>
            <w:proofErr w:type="spellEnd"/>
            <w:r w:rsidRPr="00AA7B0E">
              <w:rPr>
                <w:sz w:val="24"/>
                <w:szCs w:val="24"/>
              </w:rPr>
              <w:t xml:space="preserve"> почвы, характеризуемые сильной увлажнённостью горизонтов, иловатым составом, неясно выраженной структурой. Болотно-</w:t>
            </w:r>
            <w:proofErr w:type="spellStart"/>
            <w:r w:rsidRPr="00AA7B0E">
              <w:rPr>
                <w:sz w:val="24"/>
                <w:szCs w:val="24"/>
              </w:rPr>
              <w:t>ильменные</w:t>
            </w:r>
            <w:proofErr w:type="spellEnd"/>
            <w:r w:rsidRPr="00AA7B0E">
              <w:rPr>
                <w:sz w:val="24"/>
                <w:szCs w:val="24"/>
              </w:rPr>
              <w:t xml:space="preserve"> почвы имеют неблагоприятные водно-физические свойства, при высыхании уплотняются и образуют трещины.</w:t>
            </w:r>
          </w:p>
        </w:tc>
      </w:tr>
      <w:tr w:rsidR="004F16BE" w:rsidRPr="008B5EAB" w:rsidTr="004F16BE">
        <w:trPr>
          <w:gridAfter w:val="1"/>
          <w:wAfter w:w="116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4F16BE" w:rsidRPr="008B5EAB" w:rsidTr="004F16BE">
        <w:trPr>
          <w:gridAfter w:val="1"/>
          <w:wAfter w:w="116" w:type="dxa"/>
          <w:trHeight w:val="2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7B30BA" w:rsidRDefault="004F16BE" w:rsidP="00DC373D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7B30BA">
              <w:rPr>
                <w:rFonts w:ascii="Times New Roman" w:hAnsi="Times New Roman" w:cs="Times New Roman"/>
              </w:rPr>
              <w:t>Площадь озера</w:t>
            </w:r>
            <w:r>
              <w:rPr>
                <w:rFonts w:ascii="Times New Roman" w:hAnsi="Times New Roman" w:cs="Times New Roman"/>
              </w:rPr>
              <w:t xml:space="preserve"> Тинаки</w:t>
            </w:r>
            <w:r w:rsidRPr="007B30BA">
              <w:rPr>
                <w:rFonts w:ascii="Times New Roman" w:hAnsi="Times New Roman" w:cs="Times New Roman"/>
              </w:rPr>
              <w:t xml:space="preserve"> — около 90 000 квадратных метров. Озеро расположено между двумя </w:t>
            </w:r>
            <w:proofErr w:type="spellStart"/>
            <w:r w:rsidRPr="007B30BA">
              <w:rPr>
                <w:rFonts w:ascii="Times New Roman" w:hAnsi="Times New Roman" w:cs="Times New Roman"/>
              </w:rPr>
              <w:t>бэровскими</w:t>
            </w:r>
            <w:proofErr w:type="spellEnd"/>
            <w:r w:rsidRPr="007B30BA">
              <w:rPr>
                <w:rFonts w:ascii="Times New Roman" w:hAnsi="Times New Roman" w:cs="Times New Roman"/>
              </w:rPr>
              <w:t xml:space="preserve"> буграми в 3 километрах от северо-западной части Астрахани и в 80 километрах к северу от Каспийского моря. </w:t>
            </w:r>
          </w:p>
          <w:p w:rsidR="004F16BE" w:rsidRPr="007B30BA" w:rsidRDefault="004F16BE" w:rsidP="00DC373D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7B30BA">
              <w:rPr>
                <w:rFonts w:ascii="Times New Roman" w:hAnsi="Times New Roman" w:cs="Times New Roman"/>
              </w:rPr>
              <w:t>Благодаря содержанию в рапе озера Тинаки магниевых солей и большому количеству бактерий вода в летнее время имеет розоватый оттенок. Толщина соляного покрова в озере нестабильна и изменяется от 3 до 50 см в зависимости от времени года и количества осадков. Уровень воды в озере также изменчив, летом наибольшая глубина озера не превышает 1 метра. Из-за засушливого климата Прикаспийской низменности озеро имеет тенденцию к полному иссушению.</w:t>
            </w:r>
          </w:p>
          <w:p w:rsidR="004F16BE" w:rsidRPr="007B30BA" w:rsidRDefault="004F16BE" w:rsidP="00DC373D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7B30BA">
              <w:rPr>
                <w:rFonts w:ascii="Times New Roman" w:hAnsi="Times New Roman" w:cs="Times New Roman"/>
              </w:rPr>
              <w:t>Территория МО «</w:t>
            </w:r>
            <w:proofErr w:type="spellStart"/>
            <w:r w:rsidRPr="007B30BA">
              <w:rPr>
                <w:rFonts w:ascii="Times New Roman" w:hAnsi="Times New Roman" w:cs="Times New Roman"/>
              </w:rPr>
              <w:t>Солянский</w:t>
            </w:r>
            <w:proofErr w:type="spellEnd"/>
            <w:r w:rsidRPr="007B30BA">
              <w:rPr>
                <w:rFonts w:ascii="Times New Roman" w:hAnsi="Times New Roman" w:cs="Times New Roman"/>
              </w:rPr>
              <w:t xml:space="preserve"> сельсовет» относится к бассейну внутреннего стока, это связано с рекой Волгой, которая по всей своей протяженности искусственно и </w:t>
            </w:r>
            <w:proofErr w:type="spellStart"/>
            <w:r w:rsidRPr="007B30BA">
              <w:rPr>
                <w:rFonts w:ascii="Times New Roman" w:hAnsi="Times New Roman" w:cs="Times New Roman"/>
              </w:rPr>
              <w:t>природно</w:t>
            </w:r>
            <w:proofErr w:type="spellEnd"/>
            <w:r w:rsidRPr="007B30BA">
              <w:rPr>
                <w:rFonts w:ascii="Times New Roman" w:hAnsi="Times New Roman" w:cs="Times New Roman"/>
              </w:rPr>
              <w:t xml:space="preserve"> соединена с другими морями. Но несет свои воды в Каспийское море. </w:t>
            </w:r>
          </w:p>
          <w:p w:rsidR="004F16BE" w:rsidRPr="007B30BA" w:rsidRDefault="004F16BE" w:rsidP="00DC373D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7B30BA">
              <w:rPr>
                <w:rFonts w:ascii="Times New Roman" w:hAnsi="Times New Roman" w:cs="Times New Roman"/>
              </w:rPr>
              <w:t>Берег Тинаки покрыт белым налетом, состоящим из кристаллов рапы.</w:t>
            </w:r>
          </w:p>
          <w:p w:rsidR="004F16BE" w:rsidRPr="007B30BA" w:rsidRDefault="004F16BE" w:rsidP="00DC373D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7B30BA">
              <w:rPr>
                <w:rFonts w:ascii="Times New Roman" w:hAnsi="Times New Roman" w:cs="Times New Roman"/>
              </w:rPr>
              <w:t>Рассматривая территорию с точки зрения гидрологического режима, можно отметить что Территория относится к бессточной зоне, что обусловливает застойный характер грунтовых вод, высокую степень их минерализации и пестрый химический состав.</w:t>
            </w:r>
          </w:p>
          <w:p w:rsidR="004F16BE" w:rsidRPr="006841E7" w:rsidRDefault="004F16BE" w:rsidP="00440B7E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7B30BA">
              <w:rPr>
                <w:rFonts w:ascii="Times New Roman" w:hAnsi="Times New Roman" w:cs="Times New Roman"/>
              </w:rPr>
              <w:t>На участках с близким залеганием сильноминерализованных грунтовых вод возможно образование солевых корок и солончаков.</w:t>
            </w:r>
          </w:p>
        </w:tc>
      </w:tr>
      <w:tr w:rsidR="004F16BE" w:rsidRPr="008B5EAB" w:rsidTr="004F16BE">
        <w:trPr>
          <w:gridAfter w:val="1"/>
          <w:wAfter w:w="116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  <w:r>
              <w:rPr>
                <w:b/>
                <w:sz w:val="24"/>
                <w:szCs w:val="24"/>
              </w:rPr>
              <w:t>:</w:t>
            </w:r>
          </w:p>
          <w:p w:rsidR="004F16BE" w:rsidRPr="00174A4A" w:rsidRDefault="004F16BE" w:rsidP="00DC373D">
            <w:pPr>
              <w:pStyle w:val="aff8"/>
              <w:spacing w:line="240" w:lineRule="auto"/>
              <w:rPr>
                <w:rFonts w:ascii="Times New Roman" w:hAnsi="Times New Roman" w:cs="Times New Roman"/>
              </w:rPr>
            </w:pPr>
            <w:r w:rsidRPr="00174A4A">
              <w:rPr>
                <w:rFonts w:ascii="Times New Roman" w:hAnsi="Times New Roman" w:cs="Times New Roman"/>
              </w:rPr>
              <w:t xml:space="preserve">Формирование травянистого покрова территории связано прежде всего с типом почв и характером их водного режима. На аллювиальных почвах растительность представлена злаково-разнотравными лугами с участием </w:t>
            </w:r>
            <w:proofErr w:type="spellStart"/>
            <w:r w:rsidRPr="00174A4A">
              <w:rPr>
                <w:rFonts w:ascii="Times New Roman" w:hAnsi="Times New Roman" w:cs="Times New Roman"/>
              </w:rPr>
              <w:t>прибрежницы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прибрежной, </w:t>
            </w:r>
            <w:proofErr w:type="spellStart"/>
            <w:r w:rsidRPr="00174A4A">
              <w:rPr>
                <w:rFonts w:ascii="Times New Roman" w:hAnsi="Times New Roman" w:cs="Times New Roman"/>
              </w:rPr>
              <w:t>свинороя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пальчатого, солодки, в понижениях - стрелолистом и рогозом уз</w:t>
            </w:r>
            <w:r w:rsidRPr="00174A4A">
              <w:rPr>
                <w:rFonts w:ascii="Times New Roman" w:hAnsi="Times New Roman" w:cs="Times New Roman"/>
              </w:rPr>
              <w:softHyphen/>
              <w:t xml:space="preserve">колистным. </w:t>
            </w:r>
          </w:p>
          <w:p w:rsidR="004F16BE" w:rsidRPr="00174A4A" w:rsidRDefault="004F16BE" w:rsidP="00DC373D">
            <w:pPr>
              <w:pStyle w:val="aff8"/>
              <w:spacing w:line="240" w:lineRule="auto"/>
              <w:rPr>
                <w:rFonts w:ascii="Times New Roman" w:hAnsi="Times New Roman" w:cs="Times New Roman"/>
              </w:rPr>
            </w:pPr>
            <w:r w:rsidRPr="00174A4A">
              <w:rPr>
                <w:rFonts w:ascii="Times New Roman" w:hAnsi="Times New Roman" w:cs="Times New Roman"/>
              </w:rPr>
              <w:t xml:space="preserve">На засоленных почвах распространена </w:t>
            </w:r>
            <w:proofErr w:type="spellStart"/>
            <w:r w:rsidRPr="00174A4A">
              <w:rPr>
                <w:rFonts w:ascii="Times New Roman" w:hAnsi="Times New Roman" w:cs="Times New Roman"/>
              </w:rPr>
              <w:t>прибрежница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колючая, </w:t>
            </w:r>
            <w:proofErr w:type="spellStart"/>
            <w:r w:rsidRPr="00174A4A">
              <w:rPr>
                <w:rFonts w:ascii="Times New Roman" w:hAnsi="Times New Roman" w:cs="Times New Roman"/>
              </w:rPr>
              <w:t>кермек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4A">
              <w:rPr>
                <w:rFonts w:ascii="Times New Roman" w:hAnsi="Times New Roman" w:cs="Times New Roman"/>
              </w:rPr>
              <w:t>Гмелина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A4A">
              <w:rPr>
                <w:rFonts w:ascii="Times New Roman" w:hAnsi="Times New Roman" w:cs="Times New Roman"/>
              </w:rPr>
              <w:t>свинорой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пальчатый, клубнекамыш морской, астра солончаковая, горчак ползучий, </w:t>
            </w:r>
            <w:proofErr w:type="spellStart"/>
            <w:r w:rsidRPr="00174A4A">
              <w:rPr>
                <w:rFonts w:ascii="Times New Roman" w:hAnsi="Times New Roman" w:cs="Times New Roman"/>
              </w:rPr>
              <w:t>ширица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белая, верблюжья, одуванчик лекарственный. В пределах развития солончаков луговых доминируют сообщества однолетних галофитов.</w:t>
            </w:r>
          </w:p>
          <w:p w:rsidR="004F16BE" w:rsidRPr="00174A4A" w:rsidRDefault="004F16BE" w:rsidP="00DC373D">
            <w:pPr>
              <w:pStyle w:val="aff8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174A4A">
              <w:rPr>
                <w:rFonts w:ascii="Times New Roman" w:hAnsi="Times New Roman" w:cs="Times New Roman"/>
              </w:rPr>
              <w:t xml:space="preserve">Водная растительность представлена неприкрепленными видами растений (ряска малая, сальвиния плавающая), </w:t>
            </w:r>
            <w:proofErr w:type="spellStart"/>
            <w:r w:rsidRPr="00174A4A">
              <w:rPr>
                <w:rFonts w:ascii="Times New Roman" w:hAnsi="Times New Roman" w:cs="Times New Roman"/>
              </w:rPr>
              <w:t>полуприкрепленными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4A4A">
              <w:rPr>
                <w:rFonts w:ascii="Times New Roman" w:hAnsi="Times New Roman" w:cs="Times New Roman"/>
              </w:rPr>
              <w:t>уруть</w:t>
            </w:r>
            <w:proofErr w:type="spellEnd"/>
            <w:r w:rsidRPr="00174A4A">
              <w:rPr>
                <w:rFonts w:ascii="Times New Roman" w:hAnsi="Times New Roman" w:cs="Times New Roman"/>
              </w:rPr>
              <w:t xml:space="preserve"> мутовчатая, </w:t>
            </w:r>
            <w:r w:rsidRPr="00174A4A">
              <w:rPr>
                <w:rFonts w:ascii="Times New Roman" w:hAnsi="Times New Roman" w:cs="Times New Roman"/>
                <w:lang w:eastAsia="ar-SA"/>
              </w:rPr>
              <w:t>рдесты), клубнекамышом, камышом озерным, рогозом узколистным.</w:t>
            </w:r>
          </w:p>
          <w:p w:rsidR="004F16BE" w:rsidRPr="00B3209A" w:rsidRDefault="004F16BE" w:rsidP="00DC373D">
            <w:pPr>
              <w:pStyle w:val="aff8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174A4A">
              <w:rPr>
                <w:rFonts w:ascii="Times New Roman" w:hAnsi="Times New Roman" w:cs="Times New Roman"/>
                <w:lang w:eastAsia="ar-SA"/>
              </w:rPr>
              <w:t>Кормовых угодий, являющихся уникальными ландшафтами и памятниками природы, на территории нет. В травостое пастбищ охран</w:t>
            </w:r>
            <w:r>
              <w:rPr>
                <w:rFonts w:ascii="Times New Roman" w:hAnsi="Times New Roman" w:cs="Times New Roman"/>
                <w:lang w:eastAsia="ar-SA"/>
              </w:rPr>
              <w:t>яемые виды растений не выявлены.</w:t>
            </w:r>
          </w:p>
        </w:tc>
      </w:tr>
      <w:tr w:rsidR="004F16BE" w:rsidRPr="008B5EAB" w:rsidTr="004F16BE">
        <w:trPr>
          <w:gridAfter w:val="1"/>
          <w:wAfter w:w="116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4F16BE" w:rsidRPr="008B5EAB" w:rsidTr="004F16BE">
        <w:trPr>
          <w:gridAfter w:val="1"/>
          <w:wAfter w:w="116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Default="004F16BE" w:rsidP="00DC373D">
            <w:pPr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  <w:p w:rsidR="00440B7E" w:rsidRPr="003411C1" w:rsidRDefault="00440B7E" w:rsidP="00DC373D">
            <w:pPr>
              <w:ind w:firstLine="742"/>
              <w:jc w:val="both"/>
              <w:rPr>
                <w:sz w:val="24"/>
                <w:szCs w:val="24"/>
              </w:rPr>
            </w:pPr>
          </w:p>
        </w:tc>
      </w:tr>
      <w:tr w:rsidR="004F16BE" w:rsidRPr="008B5EAB" w:rsidTr="004F16BE">
        <w:trPr>
          <w:gridAfter w:val="1"/>
          <w:wAfter w:w="116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4F16BE" w:rsidRPr="008B5EAB" w:rsidTr="004F16BE">
        <w:trPr>
          <w:gridAfter w:val="1"/>
          <w:wAfter w:w="116" w:type="dxa"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2A5EE8" w:rsidRDefault="004F16BE" w:rsidP="00DC373D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2A5EE8">
              <w:rPr>
                <w:rFonts w:cs="Times New Roman"/>
                <w:sz w:val="24"/>
                <w:szCs w:val="24"/>
              </w:rPr>
              <w:t xml:space="preserve">Из наземных позвоночных животных наибольшим количеством видов представлена орнитофауна. Из птиц, отнесенных к объектам охоты, в различные сезоны года встречаются серый гусь, кряква, серая утка, шилохвост, свиязь и другие. </w:t>
            </w:r>
          </w:p>
          <w:p w:rsidR="004F16BE" w:rsidRPr="00320746" w:rsidRDefault="004F16BE" w:rsidP="00DC373D">
            <w:pPr>
              <w:pStyle w:val="ConsPlusNormal"/>
              <w:widowControl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2A5EE8">
              <w:rPr>
                <w:rFonts w:cs="Times New Roman"/>
                <w:sz w:val="24"/>
                <w:szCs w:val="24"/>
              </w:rPr>
              <w:t>Луговые биотопы вне периода весенне-летнего половодья являются местообитанием характерных для экосистем надводной дельты Волги видов млекопитающих, отнесенных к объектам охоты: ен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2A5EE8">
              <w:rPr>
                <w:rFonts w:cs="Times New Roman"/>
                <w:sz w:val="24"/>
                <w:szCs w:val="24"/>
              </w:rPr>
              <w:t>товидной соба</w:t>
            </w:r>
            <w:r>
              <w:rPr>
                <w:rFonts w:cs="Times New Roman"/>
                <w:sz w:val="24"/>
                <w:szCs w:val="24"/>
              </w:rPr>
              <w:t>ки, лисицы, волка, зайца русака</w:t>
            </w:r>
            <w:r w:rsidRPr="002A5EE8">
              <w:rPr>
                <w:rFonts w:cs="Times New Roman"/>
                <w:sz w:val="24"/>
                <w:szCs w:val="24"/>
              </w:rPr>
              <w:t xml:space="preserve">. </w:t>
            </w:r>
          </w:p>
        </w:tc>
      </w:tr>
      <w:tr w:rsidR="004F16BE" w:rsidRPr="008B5EAB" w:rsidTr="004F16BE">
        <w:trPr>
          <w:gridAfter w:val="1"/>
          <w:wAfter w:w="116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4F16BE" w:rsidRPr="008B5EAB" w:rsidTr="004F16BE">
        <w:trPr>
          <w:gridAfter w:val="1"/>
          <w:wAfter w:w="116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3525CD" w:rsidRDefault="004F16BE" w:rsidP="00DC373D">
            <w:pPr>
              <w:pStyle w:val="aff4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4F16BE" w:rsidRPr="008B5EAB" w:rsidTr="004F16BE">
        <w:trPr>
          <w:gridAfter w:val="1"/>
          <w:wAfter w:w="116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Default="004F16BE" w:rsidP="00DC37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земель:</w:t>
            </w:r>
          </w:p>
          <w:p w:rsidR="004F16BE" w:rsidRPr="00BD7774" w:rsidRDefault="004F16BE" w:rsidP="00DC373D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4F16BE" w:rsidRPr="008B5EAB" w:rsidTr="004F16BE">
        <w:trPr>
          <w:gridAfter w:val="1"/>
          <w:wAfter w:w="116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4F16BE" w:rsidRPr="008B5EAB" w:rsidTr="004F16BE">
        <w:trPr>
          <w:gridAfter w:val="1"/>
          <w:wAfter w:w="116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231B66" w:rsidRDefault="004F16BE" w:rsidP="00DC373D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4F16BE" w:rsidRPr="008B5EAB" w:rsidTr="004F16BE">
        <w:trPr>
          <w:gridAfter w:val="1"/>
          <w:wAfter w:w="116" w:type="dxa"/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</w:t>
            </w:r>
            <w:r>
              <w:rPr>
                <w:b/>
                <w:sz w:val="24"/>
                <w:szCs w:val="24"/>
              </w:rPr>
              <w:t xml:space="preserve">чение охраны и функционирование </w:t>
            </w:r>
            <w:r w:rsidRPr="008B5EAB">
              <w:rPr>
                <w:b/>
                <w:sz w:val="24"/>
                <w:szCs w:val="24"/>
              </w:rPr>
              <w:t>ООПТ:</w:t>
            </w:r>
          </w:p>
        </w:tc>
      </w:tr>
      <w:tr w:rsidR="004F16BE" w:rsidRPr="008B5EAB" w:rsidTr="004F16BE">
        <w:trPr>
          <w:trHeight w:val="162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4F16BE" w:rsidRPr="008B5EAB" w:rsidTr="004F16BE">
        <w:trPr>
          <w:trHeight w:val="10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414040, г. Астрахань, ул. </w:t>
            </w:r>
          </w:p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Красная Набережная, </w:t>
            </w:r>
            <w:proofErr w:type="gramStart"/>
            <w:r w:rsidRPr="00B3209A">
              <w:rPr>
                <w:sz w:val="24"/>
                <w:szCs w:val="24"/>
              </w:rPr>
              <w:t>49</w:t>
            </w:r>
            <w:proofErr w:type="gramEnd"/>
            <w:r w:rsidRPr="00B3209A">
              <w:rPr>
                <w:sz w:val="24"/>
                <w:szCs w:val="24"/>
              </w:rPr>
              <w:t xml:space="preserve"> а, 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>телефон 51-09-19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4F16BE" w:rsidRPr="008B5EAB" w:rsidTr="004F16BE">
        <w:trPr>
          <w:gridAfter w:val="1"/>
          <w:wAfter w:w="116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4F16BE" w:rsidRPr="008B5EAB" w:rsidTr="004F16BE">
        <w:trPr>
          <w:gridAfter w:val="1"/>
          <w:wAfter w:w="116" w:type="dxa"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93A09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Охранное обязательство МО «</w:t>
            </w:r>
            <w:proofErr w:type="spellStart"/>
            <w:r>
              <w:rPr>
                <w:sz w:val="24"/>
                <w:szCs w:val="24"/>
              </w:rPr>
              <w:t>Наримановский</w:t>
            </w:r>
            <w:proofErr w:type="spellEnd"/>
            <w:r>
              <w:rPr>
                <w:sz w:val="24"/>
                <w:szCs w:val="24"/>
              </w:rPr>
              <w:t xml:space="preserve"> район» от 28.07.2017. </w:t>
            </w:r>
          </w:p>
        </w:tc>
      </w:tr>
      <w:tr w:rsidR="004F16BE" w:rsidRPr="008B5EAB" w:rsidTr="004F16BE">
        <w:trPr>
          <w:gridAfter w:val="2"/>
          <w:wAfter w:w="258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4F16BE" w:rsidRPr="008B5EAB" w:rsidTr="004F16BE">
        <w:trPr>
          <w:gridAfter w:val="2"/>
          <w:wAfter w:w="258" w:type="dxa"/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4F16BE" w:rsidRPr="00FB33B7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загрязнение и замусоривание памятника природы;</w:t>
            </w:r>
          </w:p>
          <w:p w:rsidR="004F16BE" w:rsidRPr="00FB33B7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применение ядохимикатов и минеральных удобрений;</w:t>
            </w:r>
          </w:p>
          <w:p w:rsidR="004F16BE" w:rsidRPr="00FB33B7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движение автотранспорта вне дорог общего пользования;</w:t>
            </w:r>
          </w:p>
          <w:p w:rsidR="004F16BE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предоставление участков под застройку, свалку, складирование материалов;</w:t>
            </w:r>
          </w:p>
          <w:p w:rsidR="00A859EC" w:rsidRPr="00FB33B7" w:rsidRDefault="00A859EC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>
              <w:rPr>
                <w:rFonts w:cs="Times New Roman"/>
                <w:sz w:val="24"/>
                <w:szCs w:val="24"/>
              </w:rPr>
              <w:t xml:space="preserve"> повреждение, разрушение растительного и почвенного покрова;</w:t>
            </w:r>
          </w:p>
          <w:p w:rsidR="004F16BE" w:rsidRPr="00662735" w:rsidRDefault="004F16BE" w:rsidP="00A859EC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иная хозяйственная деятельность, изменяющая или разрушающая естественное состояние природного объекта.</w:t>
            </w:r>
          </w:p>
        </w:tc>
      </w:tr>
      <w:tr w:rsidR="004F16BE" w:rsidRPr="008B5EAB" w:rsidTr="004F16BE">
        <w:trPr>
          <w:gridAfter w:val="2"/>
          <w:wAfter w:w="258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A859EC" w:rsidP="00DC37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4F16BE" w:rsidRPr="008B5EAB" w:rsidTr="004F16BE">
        <w:trPr>
          <w:gridAfter w:val="2"/>
          <w:wAfter w:w="258" w:type="dxa"/>
          <w:trHeight w:val="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93A09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4F16BE" w:rsidRPr="008B5EAB" w:rsidTr="004F16BE">
        <w:trPr>
          <w:gridAfter w:val="2"/>
          <w:wAfter w:w="258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4F16BE" w:rsidRPr="008B5EAB" w:rsidTr="004F16BE">
        <w:trPr>
          <w:gridAfter w:val="2"/>
          <w:wAfter w:w="258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93A09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4F16BE" w:rsidRPr="008B5EAB" w:rsidTr="004F16BE">
        <w:trPr>
          <w:gridAfter w:val="2"/>
          <w:wAfter w:w="258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4F16BE" w:rsidRPr="008B5EAB" w:rsidTr="004F16BE">
        <w:trPr>
          <w:gridAfter w:val="2"/>
          <w:wAfter w:w="258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722E96">
            <w:pPr>
              <w:ind w:firstLine="601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722E96">
              <w:rPr>
                <w:sz w:val="24"/>
                <w:szCs w:val="24"/>
              </w:rPr>
              <w:t>«</w:t>
            </w:r>
            <w:r w:rsidRPr="00692D6E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4F16BE" w:rsidRPr="008B5EAB" w:rsidTr="004F16BE">
        <w:trPr>
          <w:gridAfter w:val="2"/>
          <w:wAfter w:w="258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4F16BE" w:rsidRPr="008B5EAB" w:rsidTr="004F16BE">
        <w:trPr>
          <w:gridAfter w:val="2"/>
          <w:wAfter w:w="258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93A09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4F16BE" w:rsidRPr="008B5EAB" w:rsidTr="004F16BE">
        <w:trPr>
          <w:gridAfter w:val="2"/>
          <w:wAfter w:w="258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4F16BE" w:rsidRPr="008B5EAB" w:rsidTr="004F16BE">
        <w:trPr>
          <w:gridAfter w:val="2"/>
          <w:wAfter w:w="258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93A09">
            <w:pPr>
              <w:ind w:firstLine="601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 xml:space="preserve"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</w:t>
            </w:r>
            <w:r>
              <w:rPr>
                <w:sz w:val="24"/>
                <w:szCs w:val="24"/>
              </w:rPr>
              <w:t>Горохова С.С., 8 (8512) 61-04-00.</w:t>
            </w:r>
          </w:p>
        </w:tc>
      </w:tr>
    </w:tbl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E96" w:rsidRDefault="00722E96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E96" w:rsidRPr="009C334B" w:rsidRDefault="00722E96" w:rsidP="009C3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95265" cy="7426325"/>
            <wp:effectExtent l="0" t="0" r="635" b="3175"/>
            <wp:docPr id="1" name="Рисунок 1" descr="C:\Users\ATimirkaeva\Downloads\2024-03-13_10-0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3_10-05-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E96" w:rsidRPr="009C334B" w:rsidSect="00CC12F4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1470C"/>
    <w:rsid w:val="0002069D"/>
    <w:rsid w:val="000206B1"/>
    <w:rsid w:val="00022FD8"/>
    <w:rsid w:val="000269E2"/>
    <w:rsid w:val="00030B1F"/>
    <w:rsid w:val="0003145D"/>
    <w:rsid w:val="00034F7A"/>
    <w:rsid w:val="00037715"/>
    <w:rsid w:val="00037A9A"/>
    <w:rsid w:val="00044ED6"/>
    <w:rsid w:val="000462E7"/>
    <w:rsid w:val="00046EF0"/>
    <w:rsid w:val="00055C2E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1805"/>
    <w:rsid w:val="00093307"/>
    <w:rsid w:val="0009702B"/>
    <w:rsid w:val="000A0989"/>
    <w:rsid w:val="000B130D"/>
    <w:rsid w:val="000D1F61"/>
    <w:rsid w:val="000E01E2"/>
    <w:rsid w:val="000E551B"/>
    <w:rsid w:val="000F23F6"/>
    <w:rsid w:val="000F375C"/>
    <w:rsid w:val="000F4EEC"/>
    <w:rsid w:val="000F5D92"/>
    <w:rsid w:val="00102A1C"/>
    <w:rsid w:val="0010765A"/>
    <w:rsid w:val="00114A28"/>
    <w:rsid w:val="00132CFF"/>
    <w:rsid w:val="00134591"/>
    <w:rsid w:val="00140049"/>
    <w:rsid w:val="00153C42"/>
    <w:rsid w:val="001544C6"/>
    <w:rsid w:val="001546DD"/>
    <w:rsid w:val="001623D1"/>
    <w:rsid w:val="0016622B"/>
    <w:rsid w:val="0016651E"/>
    <w:rsid w:val="00167132"/>
    <w:rsid w:val="00174A4A"/>
    <w:rsid w:val="00176E4A"/>
    <w:rsid w:val="0018180C"/>
    <w:rsid w:val="00190C1D"/>
    <w:rsid w:val="00191A41"/>
    <w:rsid w:val="00192492"/>
    <w:rsid w:val="00193F9F"/>
    <w:rsid w:val="001A03B1"/>
    <w:rsid w:val="001A06B0"/>
    <w:rsid w:val="001A534B"/>
    <w:rsid w:val="001A7107"/>
    <w:rsid w:val="001C1B33"/>
    <w:rsid w:val="001C5B40"/>
    <w:rsid w:val="001D67C8"/>
    <w:rsid w:val="001E174F"/>
    <w:rsid w:val="001F22DF"/>
    <w:rsid w:val="001F4651"/>
    <w:rsid w:val="001F614D"/>
    <w:rsid w:val="001F6E2B"/>
    <w:rsid w:val="00210180"/>
    <w:rsid w:val="0021117B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00EF"/>
    <w:rsid w:val="0029230D"/>
    <w:rsid w:val="00292B08"/>
    <w:rsid w:val="0029758C"/>
    <w:rsid w:val="002A5EE8"/>
    <w:rsid w:val="002B193C"/>
    <w:rsid w:val="002B28B3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0746"/>
    <w:rsid w:val="00321C9A"/>
    <w:rsid w:val="00321F0B"/>
    <w:rsid w:val="00322FBC"/>
    <w:rsid w:val="00324120"/>
    <w:rsid w:val="00327340"/>
    <w:rsid w:val="00330035"/>
    <w:rsid w:val="003317A8"/>
    <w:rsid w:val="00334C25"/>
    <w:rsid w:val="003411C1"/>
    <w:rsid w:val="00344331"/>
    <w:rsid w:val="00350276"/>
    <w:rsid w:val="0035035E"/>
    <w:rsid w:val="003525CD"/>
    <w:rsid w:val="00356F88"/>
    <w:rsid w:val="00365674"/>
    <w:rsid w:val="00373DC8"/>
    <w:rsid w:val="003763A6"/>
    <w:rsid w:val="003776FB"/>
    <w:rsid w:val="00377E4C"/>
    <w:rsid w:val="00380405"/>
    <w:rsid w:val="003812F4"/>
    <w:rsid w:val="003905B3"/>
    <w:rsid w:val="00390EC1"/>
    <w:rsid w:val="00396BA0"/>
    <w:rsid w:val="00396C53"/>
    <w:rsid w:val="0039700C"/>
    <w:rsid w:val="003A1EBA"/>
    <w:rsid w:val="003A60DD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27A8"/>
    <w:rsid w:val="0041286B"/>
    <w:rsid w:val="004150C6"/>
    <w:rsid w:val="00415B44"/>
    <w:rsid w:val="00425EBA"/>
    <w:rsid w:val="00425ED1"/>
    <w:rsid w:val="00426E75"/>
    <w:rsid w:val="00431243"/>
    <w:rsid w:val="004331AB"/>
    <w:rsid w:val="00433F15"/>
    <w:rsid w:val="00436FB2"/>
    <w:rsid w:val="00440B7E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C6EA2"/>
    <w:rsid w:val="004C7E31"/>
    <w:rsid w:val="004D52A6"/>
    <w:rsid w:val="004D602B"/>
    <w:rsid w:val="004E04F3"/>
    <w:rsid w:val="004E52AE"/>
    <w:rsid w:val="004E5865"/>
    <w:rsid w:val="004E7571"/>
    <w:rsid w:val="004F16BE"/>
    <w:rsid w:val="004F4145"/>
    <w:rsid w:val="004F4645"/>
    <w:rsid w:val="004F4E9F"/>
    <w:rsid w:val="004F6C50"/>
    <w:rsid w:val="004F7096"/>
    <w:rsid w:val="004F7526"/>
    <w:rsid w:val="00500830"/>
    <w:rsid w:val="005009D5"/>
    <w:rsid w:val="005136F2"/>
    <w:rsid w:val="00516256"/>
    <w:rsid w:val="0052225D"/>
    <w:rsid w:val="00530B5F"/>
    <w:rsid w:val="005330DE"/>
    <w:rsid w:val="0054431F"/>
    <w:rsid w:val="00550D9C"/>
    <w:rsid w:val="00554557"/>
    <w:rsid w:val="00554E94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6E2C"/>
    <w:rsid w:val="005A706F"/>
    <w:rsid w:val="005B0008"/>
    <w:rsid w:val="005B5DBF"/>
    <w:rsid w:val="005E4813"/>
    <w:rsid w:val="005E497A"/>
    <w:rsid w:val="005E4BB6"/>
    <w:rsid w:val="005F07B4"/>
    <w:rsid w:val="005F38A3"/>
    <w:rsid w:val="005F463C"/>
    <w:rsid w:val="00602AC5"/>
    <w:rsid w:val="00603005"/>
    <w:rsid w:val="00607389"/>
    <w:rsid w:val="00615CAB"/>
    <w:rsid w:val="00615D69"/>
    <w:rsid w:val="00616324"/>
    <w:rsid w:val="006216DE"/>
    <w:rsid w:val="00626D9C"/>
    <w:rsid w:val="006320B4"/>
    <w:rsid w:val="006358FC"/>
    <w:rsid w:val="006404F1"/>
    <w:rsid w:val="006432F6"/>
    <w:rsid w:val="00645267"/>
    <w:rsid w:val="00655E82"/>
    <w:rsid w:val="0066140E"/>
    <w:rsid w:val="00662735"/>
    <w:rsid w:val="00671307"/>
    <w:rsid w:val="006731B9"/>
    <w:rsid w:val="00674810"/>
    <w:rsid w:val="00676DBA"/>
    <w:rsid w:val="00676F18"/>
    <w:rsid w:val="00677FB3"/>
    <w:rsid w:val="006841E7"/>
    <w:rsid w:val="0069217F"/>
    <w:rsid w:val="00693341"/>
    <w:rsid w:val="00693C03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C85"/>
    <w:rsid w:val="006F457B"/>
    <w:rsid w:val="00701F3D"/>
    <w:rsid w:val="00720866"/>
    <w:rsid w:val="00722E96"/>
    <w:rsid w:val="00727C9A"/>
    <w:rsid w:val="0073046A"/>
    <w:rsid w:val="00737B6A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5ED3"/>
    <w:rsid w:val="007A6D0B"/>
    <w:rsid w:val="007B0937"/>
    <w:rsid w:val="007B1984"/>
    <w:rsid w:val="007B2EE5"/>
    <w:rsid w:val="007B30BA"/>
    <w:rsid w:val="007C639B"/>
    <w:rsid w:val="007D2DEF"/>
    <w:rsid w:val="007D4194"/>
    <w:rsid w:val="007D5B9B"/>
    <w:rsid w:val="007E15F4"/>
    <w:rsid w:val="007E23E1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47258"/>
    <w:rsid w:val="00847601"/>
    <w:rsid w:val="008542C7"/>
    <w:rsid w:val="00855154"/>
    <w:rsid w:val="00855AFA"/>
    <w:rsid w:val="00857550"/>
    <w:rsid w:val="008675F1"/>
    <w:rsid w:val="0086788E"/>
    <w:rsid w:val="0087431A"/>
    <w:rsid w:val="008746B9"/>
    <w:rsid w:val="008878BF"/>
    <w:rsid w:val="00890516"/>
    <w:rsid w:val="008911C1"/>
    <w:rsid w:val="00891A8D"/>
    <w:rsid w:val="00892B58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D19A0"/>
    <w:rsid w:val="008D4DC4"/>
    <w:rsid w:val="008D668E"/>
    <w:rsid w:val="008E12F8"/>
    <w:rsid w:val="008E2D2F"/>
    <w:rsid w:val="008F14FC"/>
    <w:rsid w:val="008F397C"/>
    <w:rsid w:val="008F40DF"/>
    <w:rsid w:val="008F48AF"/>
    <w:rsid w:val="008F6EEC"/>
    <w:rsid w:val="00906368"/>
    <w:rsid w:val="0090696B"/>
    <w:rsid w:val="00912D4A"/>
    <w:rsid w:val="00913E79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66045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1AAB"/>
    <w:rsid w:val="009C334B"/>
    <w:rsid w:val="009C528B"/>
    <w:rsid w:val="009D0446"/>
    <w:rsid w:val="009D366D"/>
    <w:rsid w:val="009D5202"/>
    <w:rsid w:val="009D6234"/>
    <w:rsid w:val="009E4524"/>
    <w:rsid w:val="009E7955"/>
    <w:rsid w:val="009F0DEE"/>
    <w:rsid w:val="009F6E5C"/>
    <w:rsid w:val="00A12422"/>
    <w:rsid w:val="00A22605"/>
    <w:rsid w:val="00A24DD1"/>
    <w:rsid w:val="00A25C0E"/>
    <w:rsid w:val="00A274FD"/>
    <w:rsid w:val="00A304A0"/>
    <w:rsid w:val="00A31C5F"/>
    <w:rsid w:val="00A377E5"/>
    <w:rsid w:val="00A3785F"/>
    <w:rsid w:val="00A443F3"/>
    <w:rsid w:val="00A5432D"/>
    <w:rsid w:val="00A7730B"/>
    <w:rsid w:val="00A7746D"/>
    <w:rsid w:val="00A7751C"/>
    <w:rsid w:val="00A84A54"/>
    <w:rsid w:val="00A859EC"/>
    <w:rsid w:val="00A9400A"/>
    <w:rsid w:val="00A945D4"/>
    <w:rsid w:val="00A9736F"/>
    <w:rsid w:val="00A973C9"/>
    <w:rsid w:val="00A977AC"/>
    <w:rsid w:val="00AA563C"/>
    <w:rsid w:val="00AA7B0E"/>
    <w:rsid w:val="00AB7AA7"/>
    <w:rsid w:val="00AC10D1"/>
    <w:rsid w:val="00AD0981"/>
    <w:rsid w:val="00AD3667"/>
    <w:rsid w:val="00AE3059"/>
    <w:rsid w:val="00AE34BA"/>
    <w:rsid w:val="00AF0066"/>
    <w:rsid w:val="00AF26C0"/>
    <w:rsid w:val="00AF2C5E"/>
    <w:rsid w:val="00AF63B6"/>
    <w:rsid w:val="00AF753F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2274E"/>
    <w:rsid w:val="00B2693F"/>
    <w:rsid w:val="00B31C8D"/>
    <w:rsid w:val="00B3209A"/>
    <w:rsid w:val="00B32C86"/>
    <w:rsid w:val="00B345CE"/>
    <w:rsid w:val="00B51B8C"/>
    <w:rsid w:val="00B54803"/>
    <w:rsid w:val="00B63218"/>
    <w:rsid w:val="00B66BF9"/>
    <w:rsid w:val="00B716A9"/>
    <w:rsid w:val="00B72249"/>
    <w:rsid w:val="00B732B3"/>
    <w:rsid w:val="00B74B6A"/>
    <w:rsid w:val="00B7644F"/>
    <w:rsid w:val="00B808F0"/>
    <w:rsid w:val="00B93ABD"/>
    <w:rsid w:val="00BB0124"/>
    <w:rsid w:val="00BB22E0"/>
    <w:rsid w:val="00BB3C46"/>
    <w:rsid w:val="00BC2794"/>
    <w:rsid w:val="00BD0771"/>
    <w:rsid w:val="00BD0DC6"/>
    <w:rsid w:val="00BD7774"/>
    <w:rsid w:val="00BE12D2"/>
    <w:rsid w:val="00BE2AB7"/>
    <w:rsid w:val="00BE4C3B"/>
    <w:rsid w:val="00BE4F88"/>
    <w:rsid w:val="00BE64D8"/>
    <w:rsid w:val="00BF4CD8"/>
    <w:rsid w:val="00C00D18"/>
    <w:rsid w:val="00C00E38"/>
    <w:rsid w:val="00C07991"/>
    <w:rsid w:val="00C16064"/>
    <w:rsid w:val="00C27B98"/>
    <w:rsid w:val="00C27F1B"/>
    <w:rsid w:val="00C31EF7"/>
    <w:rsid w:val="00C32405"/>
    <w:rsid w:val="00C35A58"/>
    <w:rsid w:val="00C441DB"/>
    <w:rsid w:val="00C45609"/>
    <w:rsid w:val="00C46338"/>
    <w:rsid w:val="00C47940"/>
    <w:rsid w:val="00C54763"/>
    <w:rsid w:val="00C55C15"/>
    <w:rsid w:val="00C65900"/>
    <w:rsid w:val="00C70C28"/>
    <w:rsid w:val="00C74370"/>
    <w:rsid w:val="00C762C6"/>
    <w:rsid w:val="00C81D48"/>
    <w:rsid w:val="00C8460C"/>
    <w:rsid w:val="00C90AB4"/>
    <w:rsid w:val="00C91959"/>
    <w:rsid w:val="00C95033"/>
    <w:rsid w:val="00C97F51"/>
    <w:rsid w:val="00CA1EF1"/>
    <w:rsid w:val="00CA2265"/>
    <w:rsid w:val="00CA2351"/>
    <w:rsid w:val="00CA3403"/>
    <w:rsid w:val="00CB201E"/>
    <w:rsid w:val="00CB7038"/>
    <w:rsid w:val="00CC12F4"/>
    <w:rsid w:val="00CC1AAD"/>
    <w:rsid w:val="00CC4A36"/>
    <w:rsid w:val="00CC57DE"/>
    <w:rsid w:val="00CD3BD6"/>
    <w:rsid w:val="00CE1402"/>
    <w:rsid w:val="00CE4A40"/>
    <w:rsid w:val="00D02206"/>
    <w:rsid w:val="00D05B8C"/>
    <w:rsid w:val="00D11C9E"/>
    <w:rsid w:val="00D11F66"/>
    <w:rsid w:val="00D14DAE"/>
    <w:rsid w:val="00D16EA0"/>
    <w:rsid w:val="00D17AB9"/>
    <w:rsid w:val="00D22480"/>
    <w:rsid w:val="00D2667E"/>
    <w:rsid w:val="00D40841"/>
    <w:rsid w:val="00D50550"/>
    <w:rsid w:val="00D5234D"/>
    <w:rsid w:val="00D52E62"/>
    <w:rsid w:val="00D5428F"/>
    <w:rsid w:val="00D54680"/>
    <w:rsid w:val="00D560D8"/>
    <w:rsid w:val="00D62556"/>
    <w:rsid w:val="00D644C7"/>
    <w:rsid w:val="00D67E41"/>
    <w:rsid w:val="00D72B83"/>
    <w:rsid w:val="00D80899"/>
    <w:rsid w:val="00D81B24"/>
    <w:rsid w:val="00D81EC1"/>
    <w:rsid w:val="00D85C9D"/>
    <w:rsid w:val="00D93A09"/>
    <w:rsid w:val="00D95923"/>
    <w:rsid w:val="00DB46B4"/>
    <w:rsid w:val="00DB4D41"/>
    <w:rsid w:val="00DC1588"/>
    <w:rsid w:val="00DE66DD"/>
    <w:rsid w:val="00DE697F"/>
    <w:rsid w:val="00DE71F5"/>
    <w:rsid w:val="00DF0418"/>
    <w:rsid w:val="00DF2CF3"/>
    <w:rsid w:val="00E00687"/>
    <w:rsid w:val="00E02506"/>
    <w:rsid w:val="00E05E2E"/>
    <w:rsid w:val="00E210DF"/>
    <w:rsid w:val="00E234A3"/>
    <w:rsid w:val="00E24E55"/>
    <w:rsid w:val="00E26C10"/>
    <w:rsid w:val="00E33C02"/>
    <w:rsid w:val="00E36D94"/>
    <w:rsid w:val="00E37BED"/>
    <w:rsid w:val="00E47F54"/>
    <w:rsid w:val="00E548C8"/>
    <w:rsid w:val="00E610A0"/>
    <w:rsid w:val="00E63034"/>
    <w:rsid w:val="00E66C45"/>
    <w:rsid w:val="00E67981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1237B"/>
    <w:rsid w:val="00F160F1"/>
    <w:rsid w:val="00F251A8"/>
    <w:rsid w:val="00F25DEF"/>
    <w:rsid w:val="00F34677"/>
    <w:rsid w:val="00F4183C"/>
    <w:rsid w:val="00F525A1"/>
    <w:rsid w:val="00F54D68"/>
    <w:rsid w:val="00F57611"/>
    <w:rsid w:val="00F626EC"/>
    <w:rsid w:val="00F62FC9"/>
    <w:rsid w:val="00F6358A"/>
    <w:rsid w:val="00F71400"/>
    <w:rsid w:val="00F71CEE"/>
    <w:rsid w:val="00F723E5"/>
    <w:rsid w:val="00F73586"/>
    <w:rsid w:val="00F74E3C"/>
    <w:rsid w:val="00F815D0"/>
    <w:rsid w:val="00F87DF4"/>
    <w:rsid w:val="00F9015C"/>
    <w:rsid w:val="00F90B9C"/>
    <w:rsid w:val="00F91FB0"/>
    <w:rsid w:val="00F952BF"/>
    <w:rsid w:val="00F95DF5"/>
    <w:rsid w:val="00FA3BDC"/>
    <w:rsid w:val="00FA7490"/>
    <w:rsid w:val="00FB33B7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212A-B254-4EC4-A368-114D62EE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paragraph" w:customStyle="1" w:styleId="31">
    <w:name w:val="Основной текст с отступом 31"/>
    <w:basedOn w:val="a0"/>
    <w:rsid w:val="00320746"/>
    <w:pPr>
      <w:suppressAutoHyphens/>
      <w:spacing w:after="120" w:line="240" w:lineRule="auto"/>
      <w:ind w:left="283"/>
    </w:pPr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aff8">
    <w:name w:val="ТЕКСТ"/>
    <w:basedOn w:val="a0"/>
    <w:link w:val="aff9"/>
    <w:qFormat/>
    <w:rsid w:val="00174A4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ТЕКСТ Знак"/>
    <w:basedOn w:val="a1"/>
    <w:link w:val="aff8"/>
    <w:rsid w:val="00174A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8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491</cp:revision>
  <cp:lastPrinted>2023-01-19T11:24:00Z</cp:lastPrinted>
  <dcterms:created xsi:type="dcterms:W3CDTF">2021-12-16T12:29:00Z</dcterms:created>
  <dcterms:modified xsi:type="dcterms:W3CDTF">2024-05-03T10:41:00Z</dcterms:modified>
</cp:coreProperties>
</file>